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48C70" w14:textId="1A16C88A" w:rsidR="00EA777E" w:rsidRPr="00BD4D86" w:rsidRDefault="00BD4D86" w:rsidP="00BD4D8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D4D86">
        <w:rPr>
          <w:rFonts w:ascii="Arial" w:hAnsi="Arial" w:cs="Arial"/>
          <w:sz w:val="20"/>
          <w:szCs w:val="20"/>
        </w:rPr>
        <w:t>Informācija medijiem</w:t>
      </w:r>
    </w:p>
    <w:p w14:paraId="705515EB" w14:textId="736C3060" w:rsidR="00BD4D86" w:rsidRPr="00BD4D86" w:rsidRDefault="008D794C" w:rsidP="00BD4D8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30</w:t>
      </w:r>
      <w:r w:rsidR="00BD4D86" w:rsidRPr="00BD4D86">
        <w:rPr>
          <w:rFonts w:ascii="Arial" w:hAnsi="Arial" w:cs="Arial"/>
          <w:sz w:val="20"/>
          <w:szCs w:val="20"/>
        </w:rPr>
        <w:t>.09.2026.</w:t>
      </w:r>
    </w:p>
    <w:p w14:paraId="1AD437B8" w14:textId="77777777" w:rsidR="00BD4D86" w:rsidRPr="00BD4D86" w:rsidRDefault="00BD4D86" w:rsidP="00BD4D8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A544FD9" w14:textId="22BBD4AF" w:rsidR="00BD4D86" w:rsidRDefault="00BD4D86" w:rsidP="00BD4D86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D4D86">
        <w:rPr>
          <w:rFonts w:ascii="Arial" w:hAnsi="Arial" w:cs="Arial"/>
          <w:b/>
          <w:bCs/>
          <w:sz w:val="20"/>
          <w:szCs w:val="20"/>
        </w:rPr>
        <w:t>Pieci gadi Latvijas satiksmē: auto kļūst vairāk, negadījumu sekas – arvien dārgākas</w:t>
      </w:r>
    </w:p>
    <w:p w14:paraId="1C03D642" w14:textId="6044F636" w:rsidR="00BD4D86" w:rsidRPr="00BD4D86" w:rsidRDefault="00F94A45" w:rsidP="005B5667">
      <w:pPr>
        <w:tabs>
          <w:tab w:val="left" w:pos="8253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7CB4B834" w14:textId="780B1A52" w:rsidR="00BD4D86" w:rsidRPr="00BD4D86" w:rsidRDefault="00BD4D86" w:rsidP="00BD4D86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BD4D86">
        <w:rPr>
          <w:rFonts w:ascii="Arial" w:hAnsi="Arial" w:cs="Arial"/>
          <w:b/>
          <w:bCs/>
          <w:sz w:val="20"/>
          <w:szCs w:val="20"/>
        </w:rPr>
        <w:t xml:space="preserve">Ceļu satiksmes negadījumu skaits </w:t>
      </w:r>
      <w:r w:rsidR="00B2766C">
        <w:rPr>
          <w:rFonts w:ascii="Arial" w:hAnsi="Arial" w:cs="Arial"/>
          <w:b/>
          <w:bCs/>
          <w:sz w:val="20"/>
          <w:szCs w:val="20"/>
        </w:rPr>
        <w:t>(</w:t>
      </w:r>
      <w:proofErr w:type="spellStart"/>
      <w:r w:rsidR="00B2766C">
        <w:rPr>
          <w:rFonts w:ascii="Arial" w:hAnsi="Arial" w:cs="Arial"/>
          <w:b/>
          <w:bCs/>
          <w:sz w:val="20"/>
          <w:szCs w:val="20"/>
        </w:rPr>
        <w:t>CSNg</w:t>
      </w:r>
      <w:proofErr w:type="spellEnd"/>
      <w:r w:rsidR="00B2766C">
        <w:rPr>
          <w:rFonts w:ascii="Arial" w:hAnsi="Arial" w:cs="Arial"/>
          <w:b/>
          <w:bCs/>
          <w:sz w:val="20"/>
          <w:szCs w:val="20"/>
        </w:rPr>
        <w:t xml:space="preserve">) </w:t>
      </w:r>
      <w:r w:rsidRPr="00BD4D86">
        <w:rPr>
          <w:rFonts w:ascii="Arial" w:hAnsi="Arial" w:cs="Arial"/>
          <w:b/>
          <w:bCs/>
          <w:sz w:val="20"/>
          <w:szCs w:val="20"/>
        </w:rPr>
        <w:t xml:space="preserve">piecos gados būtiski nav mainījies, bet katrs negadījums sabiedrībai un apdrošinātājiem izmaksā arvien dārgāk: </w:t>
      </w:r>
      <w:r w:rsidR="0075079E">
        <w:rPr>
          <w:rFonts w:ascii="Arial" w:hAnsi="Arial" w:cs="Arial"/>
          <w:b/>
          <w:bCs/>
          <w:sz w:val="20"/>
          <w:szCs w:val="20"/>
        </w:rPr>
        <w:t xml:space="preserve">vidējā atlīdzība piecu laikā </w:t>
      </w:r>
      <w:r w:rsidRPr="00BD4D86">
        <w:rPr>
          <w:rFonts w:ascii="Arial" w:hAnsi="Arial" w:cs="Arial"/>
          <w:b/>
          <w:bCs/>
          <w:sz w:val="20"/>
          <w:szCs w:val="20"/>
        </w:rPr>
        <w:t xml:space="preserve">augusi gandrīz par </w:t>
      </w:r>
      <w:r w:rsidR="0075079E">
        <w:rPr>
          <w:rFonts w:ascii="Arial" w:hAnsi="Arial" w:cs="Arial"/>
          <w:b/>
          <w:bCs/>
          <w:sz w:val="20"/>
          <w:szCs w:val="20"/>
        </w:rPr>
        <w:t>23 %</w:t>
      </w:r>
      <w:proofErr w:type="gramStart"/>
      <w:r w:rsidR="0075079E">
        <w:rPr>
          <w:rFonts w:ascii="Arial" w:hAnsi="Arial" w:cs="Arial"/>
          <w:b/>
          <w:bCs/>
          <w:sz w:val="20"/>
          <w:szCs w:val="20"/>
        </w:rPr>
        <w:t xml:space="preserve"> un</w:t>
      </w:r>
      <w:proofErr w:type="gramEnd"/>
      <w:r w:rsidR="0075079E">
        <w:rPr>
          <w:rFonts w:ascii="Arial" w:hAnsi="Arial" w:cs="Arial"/>
          <w:b/>
          <w:bCs/>
          <w:sz w:val="20"/>
          <w:szCs w:val="20"/>
        </w:rPr>
        <w:t xml:space="preserve"> jau pārsniedz 1800 eiro</w:t>
      </w:r>
      <w:r>
        <w:rPr>
          <w:rFonts w:ascii="Arial" w:hAnsi="Arial" w:cs="Arial"/>
          <w:b/>
          <w:bCs/>
          <w:sz w:val="20"/>
          <w:szCs w:val="20"/>
        </w:rPr>
        <w:t xml:space="preserve">, liecina Latvijas Transportlīdzekļu apdrošinātāju biroja (LTAB) dati par izmaksātajām </w:t>
      </w:r>
      <w:r w:rsidR="007A23E1">
        <w:rPr>
          <w:rFonts w:ascii="Arial" w:hAnsi="Arial" w:cs="Arial"/>
          <w:b/>
          <w:bCs/>
          <w:sz w:val="20"/>
          <w:szCs w:val="20"/>
        </w:rPr>
        <w:t xml:space="preserve">obligātās civiltiesiskās apdrošināšanas jeb </w:t>
      </w:r>
      <w:r>
        <w:rPr>
          <w:rFonts w:ascii="Arial" w:hAnsi="Arial" w:cs="Arial"/>
          <w:b/>
          <w:bCs/>
          <w:sz w:val="20"/>
          <w:szCs w:val="20"/>
        </w:rPr>
        <w:t>OCTA atlīdzībām</w:t>
      </w:r>
      <w:r w:rsidRPr="00BD4D86">
        <w:rPr>
          <w:rFonts w:ascii="Arial" w:hAnsi="Arial" w:cs="Arial"/>
          <w:b/>
          <w:bCs/>
          <w:sz w:val="20"/>
          <w:szCs w:val="20"/>
        </w:rPr>
        <w:t>.</w:t>
      </w:r>
      <w:r w:rsidR="007A23E1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4B1A10AC" w14:textId="77777777" w:rsidR="00BD4D86" w:rsidRPr="00BD4D86" w:rsidRDefault="00BD4D86" w:rsidP="00BD4D86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11D7451" w14:textId="163EA23D" w:rsidR="00B2766C" w:rsidRDefault="00B2766C" w:rsidP="00B2766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Pr="00BD4D86">
        <w:rPr>
          <w:rFonts w:ascii="Arial" w:hAnsi="Arial" w:cs="Arial"/>
          <w:sz w:val="20"/>
          <w:szCs w:val="20"/>
        </w:rPr>
        <w:t xml:space="preserve">iens </w:t>
      </w:r>
      <w:proofErr w:type="spellStart"/>
      <w:r>
        <w:rPr>
          <w:rFonts w:ascii="Arial" w:hAnsi="Arial" w:cs="Arial"/>
          <w:sz w:val="20"/>
          <w:szCs w:val="20"/>
        </w:rPr>
        <w:t>CSNg</w:t>
      </w:r>
      <w:proofErr w:type="spellEnd"/>
      <w:r w:rsidRPr="00BD4D8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šobrīd</w:t>
      </w:r>
      <w:r w:rsidRPr="00BD4D86">
        <w:rPr>
          <w:rFonts w:ascii="Arial" w:hAnsi="Arial" w:cs="Arial"/>
          <w:sz w:val="20"/>
          <w:szCs w:val="20"/>
        </w:rPr>
        <w:t xml:space="preserve"> izmaksā ievērojami vairāk nekā pirms pieciem gadiem</w:t>
      </w:r>
      <w:r>
        <w:rPr>
          <w:rFonts w:ascii="Arial" w:hAnsi="Arial" w:cs="Arial"/>
          <w:sz w:val="20"/>
          <w:szCs w:val="20"/>
        </w:rPr>
        <w:t xml:space="preserve"> – salīdzinājumā ar 2021. gadu </w:t>
      </w:r>
      <w:r w:rsidRPr="00BD4D86">
        <w:rPr>
          <w:rFonts w:ascii="Arial" w:hAnsi="Arial" w:cs="Arial"/>
          <w:sz w:val="20"/>
          <w:szCs w:val="20"/>
        </w:rPr>
        <w:t xml:space="preserve">vidējā OCTA atlīdzība </w:t>
      </w:r>
      <w:r>
        <w:rPr>
          <w:rFonts w:ascii="Arial" w:hAnsi="Arial" w:cs="Arial"/>
          <w:sz w:val="20"/>
          <w:szCs w:val="20"/>
        </w:rPr>
        <w:t>palielinājusies</w:t>
      </w:r>
      <w:r w:rsidRPr="00BD4D86">
        <w:rPr>
          <w:rFonts w:ascii="Arial" w:hAnsi="Arial" w:cs="Arial"/>
          <w:sz w:val="20"/>
          <w:szCs w:val="20"/>
        </w:rPr>
        <w:t xml:space="preserve"> par </w:t>
      </w:r>
      <w:r>
        <w:rPr>
          <w:rFonts w:ascii="Arial" w:hAnsi="Arial" w:cs="Arial"/>
          <w:sz w:val="20"/>
          <w:szCs w:val="20"/>
        </w:rPr>
        <w:t>vairāk nekā</w:t>
      </w:r>
      <w:r w:rsidRPr="00BD4D8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300 eiro, bet kopš pagājušā gada vasaras augusi par 50 eiro. </w:t>
      </w:r>
    </w:p>
    <w:p w14:paraId="72041EB7" w14:textId="77777777" w:rsidR="00B2766C" w:rsidRDefault="00B2766C" w:rsidP="00B2766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8DBB761" w14:textId="2FE36C7C" w:rsidR="00B2766C" w:rsidRDefault="00B2766C" w:rsidP="00765FA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Ar katru gadu </w:t>
      </w:r>
      <w:r w:rsidRPr="00BD4D86">
        <w:rPr>
          <w:rFonts w:ascii="Arial" w:hAnsi="Arial" w:cs="Arial"/>
          <w:sz w:val="20"/>
          <w:szCs w:val="20"/>
        </w:rPr>
        <w:t>Latvijas satiksmē piedalās arvien vairāk transportlīdzekļu</w:t>
      </w:r>
      <w:r w:rsidR="00A60094">
        <w:rPr>
          <w:rFonts w:ascii="Arial" w:hAnsi="Arial" w:cs="Arial"/>
          <w:sz w:val="20"/>
          <w:szCs w:val="20"/>
        </w:rPr>
        <w:t>.</w:t>
      </w:r>
      <w:r w:rsidRPr="00BD4D8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Šī gada jūlijā Latvijā bija reģistrēti 1,28 miljoni transportlīdzekļu, kas ir gandrīz 2 % pieaugums pret iepriekšējo gadu un 7,5 % pieaugums piecu gadu griezumā. </w:t>
      </w:r>
      <w:r w:rsidR="00A60094" w:rsidRPr="00A60094">
        <w:rPr>
          <w:rFonts w:ascii="Arial" w:hAnsi="Arial" w:cs="Arial"/>
          <w:sz w:val="20"/>
          <w:szCs w:val="20"/>
        </w:rPr>
        <w:t>Jo vairāk transportlīdzekļu piedalās satiksmē, jo vairāk iespēju, ka notiks negadījums</w:t>
      </w:r>
      <w:r w:rsidR="00A60094">
        <w:rPr>
          <w:rFonts w:ascii="Arial" w:hAnsi="Arial" w:cs="Arial"/>
          <w:sz w:val="20"/>
          <w:szCs w:val="20"/>
        </w:rPr>
        <w:t>,</w:t>
      </w:r>
      <w:r w:rsidR="00A60094" w:rsidRPr="00A60094">
        <w:rPr>
          <w:rFonts w:ascii="Arial" w:hAnsi="Arial" w:cs="Arial"/>
          <w:sz w:val="20"/>
          <w:szCs w:val="20"/>
        </w:rPr>
        <w:t xml:space="preserve"> </w:t>
      </w:r>
      <w:r w:rsidR="00A60094" w:rsidRPr="00BD4D86">
        <w:rPr>
          <w:rFonts w:ascii="Arial" w:hAnsi="Arial" w:cs="Arial"/>
          <w:sz w:val="20"/>
          <w:szCs w:val="20"/>
        </w:rPr>
        <w:t xml:space="preserve">tāpēc </w:t>
      </w:r>
      <w:r w:rsidR="00A7150C" w:rsidRPr="00BD4D86">
        <w:rPr>
          <w:rFonts w:ascii="Arial" w:hAnsi="Arial" w:cs="Arial"/>
          <w:sz w:val="20"/>
          <w:szCs w:val="20"/>
        </w:rPr>
        <w:t>zaudējumu kompensēšanā</w:t>
      </w:r>
      <w:r w:rsidR="00A7150C">
        <w:rPr>
          <w:rFonts w:ascii="Arial" w:hAnsi="Arial" w:cs="Arial"/>
          <w:sz w:val="20"/>
          <w:szCs w:val="20"/>
        </w:rPr>
        <w:t xml:space="preserve"> nozīmīga</w:t>
      </w:r>
      <w:r w:rsidR="00A7150C" w:rsidRPr="00BD4D86" w:rsidDel="00A7150C">
        <w:rPr>
          <w:rFonts w:ascii="Arial" w:hAnsi="Arial" w:cs="Arial"/>
          <w:sz w:val="20"/>
          <w:szCs w:val="20"/>
        </w:rPr>
        <w:t xml:space="preserve"> </w:t>
      </w:r>
      <w:r w:rsidR="00A7150C">
        <w:rPr>
          <w:rFonts w:ascii="Arial" w:hAnsi="Arial" w:cs="Arial"/>
          <w:sz w:val="20"/>
          <w:szCs w:val="20"/>
        </w:rPr>
        <w:t xml:space="preserve">ir </w:t>
      </w:r>
      <w:r w:rsidR="00A60094" w:rsidRPr="00BD4D86">
        <w:rPr>
          <w:rFonts w:ascii="Arial" w:hAnsi="Arial" w:cs="Arial"/>
          <w:sz w:val="20"/>
          <w:szCs w:val="20"/>
        </w:rPr>
        <w:t>OCTA sistēmas loma</w:t>
      </w:r>
      <w:r w:rsidR="00A60094">
        <w:rPr>
          <w:rFonts w:ascii="Arial" w:hAnsi="Arial" w:cs="Arial"/>
          <w:sz w:val="20"/>
          <w:szCs w:val="20"/>
        </w:rPr>
        <w:t>.</w:t>
      </w:r>
    </w:p>
    <w:p w14:paraId="70B819CD" w14:textId="77777777" w:rsidR="00A60094" w:rsidRDefault="00A60094" w:rsidP="00765FA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137553B" w14:textId="345198CB" w:rsidR="00765FA9" w:rsidRDefault="00765FA9" w:rsidP="00765FA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</w:t>
      </w:r>
      <w:r w:rsidR="00A7150C">
        <w:rPr>
          <w:rFonts w:ascii="Arial" w:hAnsi="Arial" w:cs="Arial"/>
          <w:sz w:val="20"/>
          <w:szCs w:val="20"/>
        </w:rPr>
        <w:t>Augot automašīnu skaitam, palielinās arī iegādāto OCTA polišu skaits. Taču n</w:t>
      </w:r>
      <w:r>
        <w:rPr>
          <w:rFonts w:ascii="Arial" w:hAnsi="Arial" w:cs="Arial"/>
          <w:sz w:val="20"/>
          <w:szCs w:val="20"/>
        </w:rPr>
        <w:t xml:space="preserve">evaram apgalvot, ka </w:t>
      </w:r>
      <w:r w:rsidR="007B5A6C">
        <w:rPr>
          <w:rFonts w:ascii="Arial" w:hAnsi="Arial" w:cs="Arial"/>
          <w:sz w:val="20"/>
          <w:szCs w:val="20"/>
        </w:rPr>
        <w:t xml:space="preserve">šo tendenci var saistīt tikai ar lielāku transportlīdzekļu skaitu vai </w:t>
      </w:r>
      <w:r>
        <w:rPr>
          <w:rFonts w:ascii="Arial" w:hAnsi="Arial" w:cs="Arial"/>
          <w:sz w:val="20"/>
          <w:szCs w:val="20"/>
        </w:rPr>
        <w:t xml:space="preserve">ar labāku autovadītāju finanšu pratību </w:t>
      </w:r>
      <w:r w:rsidR="007B5A6C">
        <w:rPr>
          <w:rFonts w:ascii="Arial" w:hAnsi="Arial" w:cs="Arial"/>
          <w:sz w:val="20"/>
          <w:szCs w:val="20"/>
        </w:rPr>
        <w:t xml:space="preserve">un </w:t>
      </w:r>
      <w:r>
        <w:rPr>
          <w:rFonts w:ascii="Arial" w:hAnsi="Arial" w:cs="Arial"/>
          <w:sz w:val="20"/>
          <w:szCs w:val="20"/>
        </w:rPr>
        <w:t>lielāku atbildību</w:t>
      </w:r>
      <w:r w:rsidR="00A60094">
        <w:rPr>
          <w:rFonts w:ascii="Arial" w:hAnsi="Arial" w:cs="Arial"/>
          <w:sz w:val="20"/>
          <w:szCs w:val="20"/>
        </w:rPr>
        <w:t xml:space="preserve">, </w:t>
      </w:r>
      <w:r w:rsidR="00A7150C">
        <w:rPr>
          <w:rFonts w:ascii="Arial" w:hAnsi="Arial" w:cs="Arial"/>
          <w:sz w:val="20"/>
          <w:szCs w:val="20"/>
        </w:rPr>
        <w:t>–</w:t>
      </w:r>
      <w:r w:rsidR="00A60094">
        <w:rPr>
          <w:rFonts w:ascii="Arial" w:hAnsi="Arial" w:cs="Arial"/>
          <w:sz w:val="20"/>
          <w:szCs w:val="20"/>
        </w:rPr>
        <w:t xml:space="preserve"> </w:t>
      </w:r>
      <w:r w:rsidR="007B5A6C">
        <w:rPr>
          <w:rFonts w:ascii="Arial" w:hAnsi="Arial" w:cs="Arial"/>
          <w:sz w:val="20"/>
          <w:szCs w:val="20"/>
        </w:rPr>
        <w:t>liela nozīme ir arī</w:t>
      </w:r>
      <w:r w:rsidR="00A60094" w:rsidRPr="00A60094">
        <w:rPr>
          <w:rFonts w:ascii="Arial" w:hAnsi="Arial" w:cs="Arial"/>
          <w:sz w:val="20"/>
          <w:szCs w:val="20"/>
        </w:rPr>
        <w:t xml:space="preserve"> plašāka</w:t>
      </w:r>
      <w:r w:rsidR="007B5A6C">
        <w:rPr>
          <w:rFonts w:ascii="Arial" w:hAnsi="Arial" w:cs="Arial"/>
          <w:sz w:val="20"/>
          <w:szCs w:val="20"/>
        </w:rPr>
        <w:t>i</w:t>
      </w:r>
      <w:r w:rsidR="00A60094" w:rsidRPr="00A60094">
        <w:rPr>
          <w:rFonts w:ascii="Arial" w:hAnsi="Arial" w:cs="Arial"/>
          <w:sz w:val="20"/>
          <w:szCs w:val="20"/>
        </w:rPr>
        <w:t xml:space="preserve"> tehnisko risinājumu izmantošana</w:t>
      </w:r>
      <w:r w:rsidR="007B5A6C">
        <w:rPr>
          <w:rFonts w:ascii="Arial" w:hAnsi="Arial" w:cs="Arial"/>
          <w:sz w:val="20"/>
          <w:szCs w:val="20"/>
        </w:rPr>
        <w:t>i</w:t>
      </w:r>
      <w:r w:rsidR="00A60094" w:rsidRPr="00A60094">
        <w:rPr>
          <w:rFonts w:ascii="Arial" w:hAnsi="Arial" w:cs="Arial"/>
          <w:sz w:val="20"/>
          <w:szCs w:val="20"/>
        </w:rPr>
        <w:t>, kas automātiski pārbauda OCTA esamību transportlīdzekļiem</w:t>
      </w:r>
      <w:r w:rsidR="00A60094">
        <w:rPr>
          <w:rFonts w:ascii="Arial" w:hAnsi="Arial" w:cs="Arial"/>
          <w:sz w:val="20"/>
          <w:szCs w:val="20"/>
        </w:rPr>
        <w:t xml:space="preserve">. </w:t>
      </w:r>
      <w:r w:rsidR="003532EF">
        <w:rPr>
          <w:rFonts w:ascii="Arial" w:hAnsi="Arial" w:cs="Arial"/>
          <w:sz w:val="20"/>
          <w:szCs w:val="20"/>
        </w:rPr>
        <w:t>Neatkarīgi no iemesliem</w:t>
      </w:r>
      <w:r w:rsidR="007B5A6C">
        <w:rPr>
          <w:rFonts w:ascii="Arial" w:hAnsi="Arial" w:cs="Arial"/>
          <w:sz w:val="20"/>
          <w:szCs w:val="20"/>
        </w:rPr>
        <w:t xml:space="preserve"> </w:t>
      </w:r>
      <w:r w:rsidR="006B11F0">
        <w:rPr>
          <w:rFonts w:ascii="Arial" w:hAnsi="Arial" w:cs="Arial"/>
          <w:sz w:val="20"/>
          <w:szCs w:val="20"/>
        </w:rPr>
        <w:t xml:space="preserve">apdrošināšana </w:t>
      </w:r>
      <w:r>
        <w:rPr>
          <w:rFonts w:ascii="Arial" w:hAnsi="Arial" w:cs="Arial"/>
          <w:sz w:val="20"/>
          <w:szCs w:val="20"/>
        </w:rPr>
        <w:t xml:space="preserve">ir būtisks atspaids gan sīkos ikdienas negadījumos, gan lielākās nelaimēs,” skaidro </w:t>
      </w:r>
      <w:r w:rsidR="00F94A45">
        <w:rPr>
          <w:rFonts w:ascii="Arial" w:hAnsi="Arial" w:cs="Arial"/>
          <w:sz w:val="20"/>
          <w:szCs w:val="20"/>
        </w:rPr>
        <w:t>LTAB valdes priekšsēdētājs Jānis Abāšins</w:t>
      </w:r>
      <w:r>
        <w:rPr>
          <w:rFonts w:ascii="Arial" w:hAnsi="Arial" w:cs="Arial"/>
          <w:sz w:val="20"/>
          <w:szCs w:val="20"/>
        </w:rPr>
        <w:t>.</w:t>
      </w:r>
    </w:p>
    <w:p w14:paraId="5EDF6DBD" w14:textId="77777777" w:rsidR="00765FA9" w:rsidRDefault="00765FA9" w:rsidP="00765FA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98499D3" w14:textId="74F7D4DA" w:rsidR="00765FA9" w:rsidRDefault="00765FA9" w:rsidP="00765FA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Kā spilgtu “ikdienas riska” piemēru viņš min lielo tirdzniecības centru autostāvvietas</w:t>
      </w:r>
      <w:r w:rsidR="00407C32">
        <w:rPr>
          <w:rFonts w:ascii="Arial" w:hAnsi="Arial" w:cs="Arial"/>
          <w:sz w:val="20"/>
          <w:szCs w:val="20"/>
        </w:rPr>
        <w:t>,</w:t>
      </w:r>
      <w:r w:rsidR="00407C32" w:rsidRPr="00407C32">
        <w:rPr>
          <w:rFonts w:ascii="Arial" w:hAnsi="Arial" w:cs="Arial"/>
          <w:sz w:val="20"/>
          <w:szCs w:val="20"/>
        </w:rPr>
        <w:t xml:space="preserve"> </w:t>
      </w:r>
      <w:r w:rsidR="00407C32">
        <w:rPr>
          <w:rFonts w:ascii="Arial" w:hAnsi="Arial" w:cs="Arial"/>
          <w:sz w:val="20"/>
          <w:szCs w:val="20"/>
        </w:rPr>
        <w:t>kur transportlīdzekļi lielākoties viens otru apskrāpē, iebuktē, sasit lukturus vai nodara citus nelielus bojājumus, kas tomēr izmaksā visai dārgi.</w:t>
      </w:r>
      <w:r>
        <w:rPr>
          <w:rFonts w:ascii="Arial" w:hAnsi="Arial" w:cs="Arial"/>
          <w:sz w:val="20"/>
          <w:szCs w:val="20"/>
        </w:rPr>
        <w:t xml:space="preserve"> </w:t>
      </w:r>
      <w:r w:rsidR="00407C32">
        <w:rPr>
          <w:rFonts w:ascii="Arial" w:hAnsi="Arial" w:cs="Arial"/>
          <w:sz w:val="20"/>
          <w:szCs w:val="20"/>
        </w:rPr>
        <w:t>Saskaņā ar</w:t>
      </w:r>
      <w:r>
        <w:rPr>
          <w:rFonts w:ascii="Arial" w:hAnsi="Arial" w:cs="Arial"/>
          <w:sz w:val="20"/>
          <w:szCs w:val="20"/>
        </w:rPr>
        <w:t xml:space="preserve"> LTAB datiem OCTA atlīdzībās</w:t>
      </w:r>
      <w:r w:rsidR="00407C32">
        <w:rPr>
          <w:rFonts w:ascii="Arial" w:hAnsi="Arial" w:cs="Arial"/>
          <w:sz w:val="20"/>
          <w:szCs w:val="20"/>
        </w:rPr>
        <w:t xml:space="preserve"> par</w:t>
      </w:r>
      <w:r>
        <w:rPr>
          <w:rFonts w:ascii="Arial" w:hAnsi="Arial" w:cs="Arial"/>
          <w:sz w:val="20"/>
          <w:szCs w:val="20"/>
        </w:rPr>
        <w:t xml:space="preserve"> </w:t>
      </w:r>
      <w:r w:rsidR="00407C32">
        <w:rPr>
          <w:rFonts w:ascii="Arial" w:hAnsi="Arial" w:cs="Arial"/>
          <w:sz w:val="20"/>
          <w:szCs w:val="20"/>
        </w:rPr>
        <w:t xml:space="preserve">563 </w:t>
      </w:r>
      <w:r w:rsidR="00B2766C">
        <w:rPr>
          <w:rFonts w:ascii="Arial" w:hAnsi="Arial" w:cs="Arial"/>
          <w:sz w:val="20"/>
          <w:szCs w:val="20"/>
        </w:rPr>
        <w:t>negadījumiem tirdzniecības centru auto</w:t>
      </w:r>
      <w:r>
        <w:rPr>
          <w:rFonts w:ascii="Arial" w:hAnsi="Arial" w:cs="Arial"/>
          <w:sz w:val="20"/>
          <w:szCs w:val="20"/>
        </w:rPr>
        <w:t>stāvviet</w:t>
      </w:r>
      <w:r w:rsidR="00B2766C">
        <w:rPr>
          <w:rFonts w:ascii="Arial" w:hAnsi="Arial" w:cs="Arial"/>
          <w:sz w:val="20"/>
          <w:szCs w:val="20"/>
        </w:rPr>
        <w:t>ās</w:t>
      </w:r>
      <w:r w:rsidR="00407C32">
        <w:rPr>
          <w:rFonts w:ascii="Arial" w:hAnsi="Arial" w:cs="Arial"/>
          <w:sz w:val="20"/>
          <w:szCs w:val="20"/>
        </w:rPr>
        <w:t xml:space="preserve"> </w:t>
      </w:r>
      <w:r w:rsidR="00B2766C">
        <w:rPr>
          <w:rFonts w:ascii="Arial" w:hAnsi="Arial" w:cs="Arial"/>
          <w:sz w:val="20"/>
          <w:szCs w:val="20"/>
        </w:rPr>
        <w:t xml:space="preserve">pērn </w:t>
      </w:r>
      <w:r w:rsidR="00407C32">
        <w:rPr>
          <w:rFonts w:ascii="Arial" w:hAnsi="Arial" w:cs="Arial"/>
          <w:sz w:val="20"/>
          <w:szCs w:val="20"/>
        </w:rPr>
        <w:t>izmaksāti vairāk nekā 490 000 eiro jeb vidēji 870 eiro par vienu gadījumu.</w:t>
      </w:r>
      <w:r w:rsidR="00407C32" w:rsidRPr="00407C32">
        <w:rPr>
          <w:rFonts w:ascii="Arial" w:hAnsi="Arial" w:cs="Arial"/>
          <w:sz w:val="20"/>
          <w:szCs w:val="20"/>
        </w:rPr>
        <w:t xml:space="preserve"> </w:t>
      </w:r>
    </w:p>
    <w:p w14:paraId="6F0E326E" w14:textId="77777777" w:rsidR="00765FA9" w:rsidRPr="00BD4D86" w:rsidRDefault="00765FA9" w:rsidP="00765FA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A809EC0" w14:textId="1DCC6767" w:rsidR="003E3836" w:rsidRPr="003E3836" w:rsidRDefault="00F94A45" w:rsidP="003E383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Kopumā </w:t>
      </w:r>
      <w:r w:rsidR="00C85210">
        <w:rPr>
          <w:rFonts w:ascii="Arial" w:hAnsi="Arial" w:cs="Arial"/>
          <w:sz w:val="20"/>
          <w:szCs w:val="20"/>
        </w:rPr>
        <w:t>dati rāda, ka</w:t>
      </w:r>
      <w:r>
        <w:rPr>
          <w:rFonts w:ascii="Arial" w:hAnsi="Arial" w:cs="Arial"/>
          <w:sz w:val="20"/>
          <w:szCs w:val="20"/>
        </w:rPr>
        <w:t>,</w:t>
      </w:r>
      <w:r w:rsidR="00C85210">
        <w:rPr>
          <w:rFonts w:ascii="Arial" w:hAnsi="Arial" w:cs="Arial"/>
          <w:sz w:val="20"/>
          <w:szCs w:val="20"/>
        </w:rPr>
        <w:t xml:space="preserve"> palielinoties transportlīdzekļu skaitam, pieaug arī ceļu satiksmes negadījumu finansiālās sekas</w:t>
      </w:r>
      <w:r>
        <w:rPr>
          <w:rFonts w:ascii="Arial" w:hAnsi="Arial" w:cs="Arial"/>
          <w:sz w:val="20"/>
          <w:szCs w:val="20"/>
        </w:rPr>
        <w:t xml:space="preserve"> un</w:t>
      </w:r>
      <w:r w:rsidR="00C8521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</w:t>
      </w:r>
      <w:r w:rsidR="00C85210">
        <w:rPr>
          <w:rFonts w:ascii="Arial" w:hAnsi="Arial" w:cs="Arial"/>
          <w:sz w:val="20"/>
          <w:szCs w:val="20"/>
        </w:rPr>
        <w:t xml:space="preserve">at šķietami ikdienišķs starpgadījums uz ceļa vai stāvvietā var radīt būtiskus zaudējumus. </w:t>
      </w:r>
      <w:r>
        <w:rPr>
          <w:rFonts w:ascii="Arial" w:hAnsi="Arial" w:cs="Arial"/>
          <w:sz w:val="20"/>
          <w:szCs w:val="20"/>
        </w:rPr>
        <w:t>Tāpēc apdrošinātāji atgādina: OCTA ir ne tikai obligāt</w:t>
      </w:r>
      <w:r w:rsidR="006B11F0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prasība, bet arī iespēja pasargāt sevi no finansiāliem zaudējumiem, ja gadījies izraisīt </w:t>
      </w:r>
      <w:proofErr w:type="spellStart"/>
      <w:r>
        <w:rPr>
          <w:rFonts w:ascii="Arial" w:hAnsi="Arial" w:cs="Arial"/>
          <w:sz w:val="20"/>
          <w:szCs w:val="20"/>
        </w:rPr>
        <w:t>CSNg</w:t>
      </w:r>
      <w:proofErr w:type="spellEnd"/>
      <w:r>
        <w:rPr>
          <w:rFonts w:ascii="Arial" w:hAnsi="Arial" w:cs="Arial"/>
          <w:sz w:val="20"/>
          <w:szCs w:val="20"/>
        </w:rPr>
        <w:t>.</w:t>
      </w:r>
      <w:r w:rsidR="003E3836" w:rsidRPr="003E3836">
        <w:rPr>
          <w:rFonts w:ascii="Arial" w:hAnsi="Arial" w:cs="Arial"/>
          <w:sz w:val="20"/>
          <w:szCs w:val="20"/>
        </w:rPr>
        <w:t xml:space="preserve"> Ja negadījumu izraisa neapdrošināts transportlīdzeklis, cietušajam atlīdzība tiek izmaksāta no Garantijas fonda, bet pēc tam no negadījuma izraisītāja tiek piedzīti izmaksātie zaudējumi.</w:t>
      </w:r>
    </w:p>
    <w:p w14:paraId="6FAFF5F9" w14:textId="135706DE" w:rsidR="00BD4D86" w:rsidRPr="00BD4D86" w:rsidRDefault="00BD4D86" w:rsidP="00BD4D8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93ED9A0" w14:textId="2E2FC061" w:rsidR="00BD4D86" w:rsidRPr="00BD4D86" w:rsidRDefault="00BD4D86" w:rsidP="00BD4D8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BD4D86" w:rsidRPr="00BD4D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96C02"/>
    <w:multiLevelType w:val="multilevel"/>
    <w:tmpl w:val="A71C5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BA6B39"/>
    <w:multiLevelType w:val="multilevel"/>
    <w:tmpl w:val="7362E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064440">
    <w:abstractNumId w:val="1"/>
  </w:num>
  <w:num w:numId="2" w16cid:durableId="1947468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D86"/>
    <w:rsid w:val="00023C91"/>
    <w:rsid w:val="00051328"/>
    <w:rsid w:val="00165D5C"/>
    <w:rsid w:val="00261C4E"/>
    <w:rsid w:val="00280D0D"/>
    <w:rsid w:val="002852AE"/>
    <w:rsid w:val="003168FC"/>
    <w:rsid w:val="003301DA"/>
    <w:rsid w:val="003532EF"/>
    <w:rsid w:val="003B52E1"/>
    <w:rsid w:val="003C203C"/>
    <w:rsid w:val="003D64A1"/>
    <w:rsid w:val="003E3836"/>
    <w:rsid w:val="00407C32"/>
    <w:rsid w:val="00430DC4"/>
    <w:rsid w:val="00496781"/>
    <w:rsid w:val="004B5D81"/>
    <w:rsid w:val="004E0D8A"/>
    <w:rsid w:val="005B5667"/>
    <w:rsid w:val="00647C08"/>
    <w:rsid w:val="006563A5"/>
    <w:rsid w:val="006B11F0"/>
    <w:rsid w:val="006D7991"/>
    <w:rsid w:val="006F1681"/>
    <w:rsid w:val="006F478C"/>
    <w:rsid w:val="007021D8"/>
    <w:rsid w:val="00706916"/>
    <w:rsid w:val="0075079E"/>
    <w:rsid w:val="00762A34"/>
    <w:rsid w:val="00765FA9"/>
    <w:rsid w:val="007A23E1"/>
    <w:rsid w:val="007B5A6C"/>
    <w:rsid w:val="007D023A"/>
    <w:rsid w:val="008926F2"/>
    <w:rsid w:val="008974AC"/>
    <w:rsid w:val="008D794C"/>
    <w:rsid w:val="008F51C7"/>
    <w:rsid w:val="009E2C08"/>
    <w:rsid w:val="009E7874"/>
    <w:rsid w:val="00A60094"/>
    <w:rsid w:val="00A7150C"/>
    <w:rsid w:val="00B06DEB"/>
    <w:rsid w:val="00B2766C"/>
    <w:rsid w:val="00B31F31"/>
    <w:rsid w:val="00B40856"/>
    <w:rsid w:val="00BD1F67"/>
    <w:rsid w:val="00BD4D86"/>
    <w:rsid w:val="00C85210"/>
    <w:rsid w:val="00CC2524"/>
    <w:rsid w:val="00D71548"/>
    <w:rsid w:val="00E959E5"/>
    <w:rsid w:val="00EA777E"/>
    <w:rsid w:val="00EB200C"/>
    <w:rsid w:val="00F9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27AE1F"/>
  <w15:chartTrackingRefBased/>
  <w15:docId w15:val="{D64597BE-EB85-4106-BD2F-13446E5B6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4D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4D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4D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4D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4D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4D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4D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4D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4D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4D8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lv-LV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4D8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lv-LV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4D86"/>
    <w:rPr>
      <w:rFonts w:eastAsiaTheme="majorEastAsia" w:cstheme="majorBidi"/>
      <w:color w:val="0F4761" w:themeColor="accent1" w:themeShade="BF"/>
      <w:sz w:val="28"/>
      <w:szCs w:val="28"/>
      <w:lang w:val="lv-LV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4D86"/>
    <w:rPr>
      <w:rFonts w:eastAsiaTheme="majorEastAsia" w:cstheme="majorBidi"/>
      <w:i/>
      <w:iCs/>
      <w:color w:val="0F4761" w:themeColor="accent1" w:themeShade="BF"/>
      <w:lang w:val="lv-LV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4D86"/>
    <w:rPr>
      <w:rFonts w:eastAsiaTheme="majorEastAsia" w:cstheme="majorBidi"/>
      <w:color w:val="0F4761" w:themeColor="accent1" w:themeShade="BF"/>
      <w:lang w:val="lv-LV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4D86"/>
    <w:rPr>
      <w:rFonts w:eastAsiaTheme="majorEastAsia" w:cstheme="majorBidi"/>
      <w:i/>
      <w:iCs/>
      <w:color w:val="595959" w:themeColor="text1" w:themeTint="A6"/>
      <w:lang w:val="lv-LV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4D86"/>
    <w:rPr>
      <w:rFonts w:eastAsiaTheme="majorEastAsia" w:cstheme="majorBidi"/>
      <w:color w:val="595959" w:themeColor="text1" w:themeTint="A6"/>
      <w:lang w:val="lv-LV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4D86"/>
    <w:rPr>
      <w:rFonts w:eastAsiaTheme="majorEastAsia" w:cstheme="majorBidi"/>
      <w:i/>
      <w:iCs/>
      <w:color w:val="272727" w:themeColor="text1" w:themeTint="D8"/>
      <w:lang w:val="lv-LV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4D86"/>
    <w:rPr>
      <w:rFonts w:eastAsiaTheme="majorEastAsia" w:cstheme="majorBidi"/>
      <w:color w:val="272727" w:themeColor="text1" w:themeTint="D8"/>
      <w:lang w:val="lv-LV"/>
    </w:rPr>
  </w:style>
  <w:style w:type="paragraph" w:styleId="Title">
    <w:name w:val="Title"/>
    <w:basedOn w:val="Normal"/>
    <w:next w:val="Normal"/>
    <w:link w:val="TitleChar"/>
    <w:uiPriority w:val="10"/>
    <w:qFormat/>
    <w:rsid w:val="00BD4D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4D86"/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4D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4D86"/>
    <w:rPr>
      <w:rFonts w:eastAsiaTheme="majorEastAsia" w:cstheme="majorBidi"/>
      <w:color w:val="595959" w:themeColor="text1" w:themeTint="A6"/>
      <w:spacing w:val="15"/>
      <w:sz w:val="28"/>
      <w:szCs w:val="28"/>
      <w:lang w:val="lv-LV"/>
    </w:rPr>
  </w:style>
  <w:style w:type="paragraph" w:styleId="Quote">
    <w:name w:val="Quote"/>
    <w:basedOn w:val="Normal"/>
    <w:next w:val="Normal"/>
    <w:link w:val="QuoteChar"/>
    <w:uiPriority w:val="29"/>
    <w:qFormat/>
    <w:rsid w:val="00BD4D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4D86"/>
    <w:rPr>
      <w:i/>
      <w:iCs/>
      <w:color w:val="404040" w:themeColor="text1" w:themeTint="BF"/>
      <w:lang w:val="lv-LV"/>
    </w:rPr>
  </w:style>
  <w:style w:type="paragraph" w:styleId="ListParagraph">
    <w:name w:val="List Paragraph"/>
    <w:basedOn w:val="Normal"/>
    <w:uiPriority w:val="34"/>
    <w:qFormat/>
    <w:rsid w:val="00BD4D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4D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D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D86"/>
    <w:rPr>
      <w:i/>
      <w:iCs/>
      <w:color w:val="0F4761" w:themeColor="accent1" w:themeShade="BF"/>
      <w:lang w:val="lv-LV"/>
    </w:rPr>
  </w:style>
  <w:style w:type="character" w:styleId="IntenseReference">
    <w:name w:val="Intense Reference"/>
    <w:basedOn w:val="DefaultParagraphFont"/>
    <w:uiPriority w:val="32"/>
    <w:qFormat/>
    <w:rsid w:val="00BD4D86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6563A5"/>
    <w:pPr>
      <w:spacing w:after="0" w:line="240" w:lineRule="auto"/>
    </w:pPr>
    <w:rPr>
      <w:lang w:val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4E0D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0D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0D8A"/>
    <w:rPr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0D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0D8A"/>
    <w:rPr>
      <w:b/>
      <w:bCs/>
      <w:sz w:val="20"/>
      <w:szCs w:val="20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A97319-C0FA-487C-8BE1-B7B2B97CF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1646</Words>
  <Characters>939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Dagnija Grīnfelde</dc:creator>
  <cp:keywords/>
  <dc:description/>
  <cp:lastModifiedBy>Agris Daukste</cp:lastModifiedBy>
  <cp:revision>2</cp:revision>
  <dcterms:created xsi:type="dcterms:W3CDTF">2026-10-15T06:36:00Z</dcterms:created>
  <dcterms:modified xsi:type="dcterms:W3CDTF">2026-10-15T06:36:00Z</dcterms:modified>
</cp:coreProperties>
</file>