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64D" w14:textId="77777777" w:rsidR="00B44512" w:rsidRPr="00D81561" w:rsidRDefault="00B44512" w:rsidP="0006179C">
      <w:pPr>
        <w:spacing w:after="0" w:line="240" w:lineRule="auto"/>
        <w:jc w:val="right"/>
        <w:rPr>
          <w:b/>
          <w:sz w:val="24"/>
          <w:szCs w:val="24"/>
          <w:lang w:val="lv-LV"/>
        </w:rPr>
      </w:pPr>
      <w:r w:rsidRPr="00D81561">
        <w:rPr>
          <w:b/>
          <w:sz w:val="24"/>
          <w:szCs w:val="24"/>
          <w:lang w:val="lv-LV"/>
        </w:rPr>
        <w:t>Paziņojums masu medijiem</w:t>
      </w:r>
    </w:p>
    <w:p w14:paraId="50188D1F" w14:textId="32CF84C7" w:rsidR="00B44512" w:rsidRPr="00D81561" w:rsidRDefault="003E6A88" w:rsidP="0006179C">
      <w:pPr>
        <w:spacing w:after="0" w:line="240" w:lineRule="auto"/>
        <w:jc w:val="right"/>
        <w:rPr>
          <w:b/>
          <w:sz w:val="24"/>
          <w:szCs w:val="24"/>
          <w:lang w:val="lv-LV"/>
        </w:rPr>
      </w:pPr>
      <w:r>
        <w:rPr>
          <w:b/>
          <w:sz w:val="24"/>
          <w:szCs w:val="24"/>
          <w:lang w:val="lv-LV"/>
        </w:rPr>
        <w:t>31.07</w:t>
      </w:r>
      <w:r w:rsidR="007377BD" w:rsidRPr="00D81561">
        <w:rPr>
          <w:b/>
          <w:sz w:val="24"/>
          <w:szCs w:val="24"/>
          <w:lang w:val="lv-LV"/>
        </w:rPr>
        <w:t>.20</w:t>
      </w:r>
      <w:r w:rsidR="00390CF5" w:rsidRPr="00D81561">
        <w:rPr>
          <w:b/>
          <w:sz w:val="24"/>
          <w:szCs w:val="24"/>
          <w:lang w:val="lv-LV"/>
        </w:rPr>
        <w:t>2</w:t>
      </w:r>
      <w:r>
        <w:rPr>
          <w:b/>
          <w:sz w:val="24"/>
          <w:szCs w:val="24"/>
          <w:lang w:val="lv-LV"/>
        </w:rPr>
        <w:t>6</w:t>
      </w:r>
      <w:r w:rsidR="00B44512" w:rsidRPr="00D81561">
        <w:rPr>
          <w:b/>
          <w:sz w:val="24"/>
          <w:szCs w:val="24"/>
          <w:lang w:val="lv-LV"/>
        </w:rPr>
        <w:t>.</w:t>
      </w:r>
    </w:p>
    <w:p w14:paraId="596E6553" w14:textId="77777777" w:rsidR="00042A1B" w:rsidRPr="00031F20" w:rsidRDefault="00042A1B" w:rsidP="0006179C">
      <w:pPr>
        <w:spacing w:after="0" w:line="240" w:lineRule="auto"/>
        <w:jc w:val="right"/>
        <w:rPr>
          <w:b/>
          <w:lang w:val="lv-LV"/>
        </w:rPr>
      </w:pPr>
    </w:p>
    <w:p w14:paraId="46315188" w14:textId="2557405E" w:rsidR="00041B20" w:rsidRPr="00D81561" w:rsidRDefault="003E6A88" w:rsidP="0006179C">
      <w:pPr>
        <w:spacing w:after="0" w:line="240" w:lineRule="auto"/>
        <w:jc w:val="both"/>
        <w:rPr>
          <w:b/>
          <w:sz w:val="28"/>
          <w:szCs w:val="28"/>
          <w:lang w:val="lv-LV"/>
        </w:rPr>
      </w:pPr>
      <w:r>
        <w:rPr>
          <w:b/>
          <w:sz w:val="28"/>
          <w:szCs w:val="28"/>
          <w:lang w:val="lv-LV"/>
        </w:rPr>
        <w:t>Pēdējos 12 mēnešos</w:t>
      </w:r>
      <w:r w:rsidR="002C6525">
        <w:rPr>
          <w:b/>
          <w:sz w:val="28"/>
          <w:szCs w:val="28"/>
          <w:lang w:val="lv-LV"/>
        </w:rPr>
        <w:t xml:space="preserve"> OCTA atlīdzībās </w:t>
      </w:r>
      <w:r>
        <w:rPr>
          <w:b/>
          <w:sz w:val="28"/>
          <w:szCs w:val="28"/>
          <w:lang w:val="lv-LV"/>
        </w:rPr>
        <w:t>izmaksāti</w:t>
      </w:r>
      <w:r w:rsidR="002C6525">
        <w:rPr>
          <w:b/>
          <w:sz w:val="28"/>
          <w:szCs w:val="28"/>
          <w:lang w:val="lv-LV"/>
        </w:rPr>
        <w:t xml:space="preserve"> </w:t>
      </w:r>
      <w:r>
        <w:rPr>
          <w:b/>
          <w:sz w:val="28"/>
          <w:szCs w:val="28"/>
          <w:lang w:val="lv-LV"/>
        </w:rPr>
        <w:t>84,5</w:t>
      </w:r>
      <w:r w:rsidR="002C6525">
        <w:rPr>
          <w:b/>
          <w:sz w:val="28"/>
          <w:szCs w:val="28"/>
          <w:lang w:val="lv-LV"/>
        </w:rPr>
        <w:t xml:space="preserve"> miljon</w:t>
      </w:r>
      <w:r>
        <w:rPr>
          <w:b/>
          <w:sz w:val="28"/>
          <w:szCs w:val="28"/>
          <w:lang w:val="lv-LV"/>
        </w:rPr>
        <w:t>i</w:t>
      </w:r>
      <w:r w:rsidR="002C6525">
        <w:rPr>
          <w:b/>
          <w:sz w:val="28"/>
          <w:szCs w:val="28"/>
          <w:lang w:val="lv-LV"/>
        </w:rPr>
        <w:t xml:space="preserve"> EUR</w:t>
      </w:r>
    </w:p>
    <w:p w14:paraId="3163D01E" w14:textId="77777777" w:rsidR="004C7756" w:rsidRPr="000F3762" w:rsidRDefault="004C7756" w:rsidP="0006179C">
      <w:pPr>
        <w:spacing w:after="0" w:line="240" w:lineRule="auto"/>
        <w:jc w:val="both"/>
        <w:rPr>
          <w:b/>
          <w:sz w:val="24"/>
          <w:szCs w:val="24"/>
          <w:lang w:val="lv-LV"/>
        </w:rPr>
      </w:pPr>
    </w:p>
    <w:p w14:paraId="640A0315" w14:textId="0760889E" w:rsidR="000F3762" w:rsidRPr="0006179C" w:rsidRDefault="003E6A88" w:rsidP="0006179C">
      <w:pPr>
        <w:spacing w:after="0" w:line="240" w:lineRule="auto"/>
        <w:jc w:val="both"/>
        <w:rPr>
          <w:b/>
          <w:sz w:val="24"/>
          <w:szCs w:val="24"/>
          <w:lang w:val="lv-LV"/>
        </w:rPr>
      </w:pPr>
      <w:r>
        <w:rPr>
          <w:b/>
          <w:sz w:val="24"/>
          <w:szCs w:val="24"/>
          <w:lang w:val="lv-LV"/>
        </w:rPr>
        <w:t>Pēdējo 12</w:t>
      </w:r>
      <w:r w:rsidR="00022BF3" w:rsidRPr="0006179C">
        <w:rPr>
          <w:b/>
          <w:sz w:val="24"/>
          <w:szCs w:val="24"/>
          <w:lang w:val="lv-LV"/>
        </w:rPr>
        <w:t xml:space="preserve"> mēneš</w:t>
      </w:r>
      <w:r w:rsidR="0041298A">
        <w:rPr>
          <w:b/>
          <w:sz w:val="24"/>
          <w:szCs w:val="24"/>
          <w:lang w:val="lv-LV"/>
        </w:rPr>
        <w:t>u laikā</w:t>
      </w:r>
      <w:r>
        <w:rPr>
          <w:b/>
          <w:sz w:val="24"/>
          <w:szCs w:val="24"/>
          <w:lang w:val="lv-LV"/>
        </w:rPr>
        <w:t xml:space="preserve"> (01.07.2025</w:t>
      </w:r>
      <w:r w:rsidR="00B612FB">
        <w:rPr>
          <w:b/>
          <w:sz w:val="24"/>
          <w:szCs w:val="24"/>
          <w:lang w:val="lv-LV"/>
        </w:rPr>
        <w:t>.</w:t>
      </w:r>
      <w:r>
        <w:rPr>
          <w:b/>
          <w:sz w:val="24"/>
          <w:szCs w:val="24"/>
          <w:lang w:val="lv-LV"/>
        </w:rPr>
        <w:t xml:space="preserve"> – 30.06.2026.)</w:t>
      </w:r>
      <w:r w:rsidR="000F3762" w:rsidRPr="0006179C">
        <w:rPr>
          <w:b/>
          <w:sz w:val="24"/>
          <w:szCs w:val="24"/>
          <w:lang w:val="lv-LV"/>
        </w:rPr>
        <w:t xml:space="preserve"> </w:t>
      </w:r>
      <w:bookmarkStart w:id="0" w:name="_Hlk109640824"/>
      <w:r w:rsidR="000F3762" w:rsidRPr="0006179C">
        <w:rPr>
          <w:b/>
          <w:sz w:val="24"/>
          <w:szCs w:val="24"/>
          <w:lang w:val="lv-LV"/>
        </w:rPr>
        <w:t xml:space="preserve">apdrošināšanas sabiedrības un Latvijas Transportlīdzekļu apdrošinātāju birojs (turpmāk- LTAB) kopā </w:t>
      </w:r>
      <w:r w:rsidR="00651447" w:rsidRPr="0006179C">
        <w:rPr>
          <w:b/>
          <w:sz w:val="24"/>
          <w:szCs w:val="24"/>
          <w:lang w:val="lv-LV"/>
        </w:rPr>
        <w:t xml:space="preserve">pieņēmuši lēmumus par </w:t>
      </w:r>
      <w:r w:rsidR="000F3762" w:rsidRPr="0006179C">
        <w:rPr>
          <w:b/>
          <w:sz w:val="24"/>
          <w:szCs w:val="24"/>
          <w:lang w:val="lv-LV"/>
        </w:rPr>
        <w:t xml:space="preserve">OCTA </w:t>
      </w:r>
      <w:r w:rsidR="00651447" w:rsidRPr="0006179C">
        <w:rPr>
          <w:b/>
          <w:sz w:val="24"/>
          <w:szCs w:val="24"/>
          <w:lang w:val="lv-LV"/>
        </w:rPr>
        <w:t>atlīdzību izmaksu</w:t>
      </w:r>
      <w:r w:rsidR="000F3762" w:rsidRPr="0006179C">
        <w:rPr>
          <w:b/>
          <w:sz w:val="24"/>
          <w:szCs w:val="24"/>
          <w:lang w:val="lv-LV"/>
        </w:rPr>
        <w:t xml:space="preserve"> </w:t>
      </w:r>
      <w:r w:rsidR="00B612FB">
        <w:rPr>
          <w:b/>
          <w:sz w:val="24"/>
          <w:szCs w:val="24"/>
          <w:lang w:val="lv-LV"/>
        </w:rPr>
        <w:t>84,5</w:t>
      </w:r>
      <w:r w:rsidR="000F3762" w:rsidRPr="0006179C">
        <w:rPr>
          <w:b/>
          <w:sz w:val="24"/>
          <w:szCs w:val="24"/>
          <w:lang w:val="lv-LV"/>
        </w:rPr>
        <w:t xml:space="preserve"> miljonu EUR</w:t>
      </w:r>
      <w:r w:rsidR="00651447" w:rsidRPr="0006179C">
        <w:rPr>
          <w:b/>
          <w:sz w:val="24"/>
          <w:szCs w:val="24"/>
          <w:lang w:val="lv-LV"/>
        </w:rPr>
        <w:t xml:space="preserve"> apmērā</w:t>
      </w:r>
      <w:r w:rsidR="001B7E14" w:rsidRPr="0006179C">
        <w:rPr>
          <w:b/>
          <w:sz w:val="24"/>
          <w:szCs w:val="24"/>
          <w:lang w:val="lv-LV"/>
        </w:rPr>
        <w:t xml:space="preserve">, kas ir par </w:t>
      </w:r>
      <w:r w:rsidR="00B612FB">
        <w:rPr>
          <w:b/>
          <w:sz w:val="24"/>
          <w:szCs w:val="24"/>
          <w:lang w:val="lv-LV"/>
        </w:rPr>
        <w:t>13,5</w:t>
      </w:r>
      <w:r w:rsidR="001B7E14" w:rsidRPr="0006179C">
        <w:rPr>
          <w:b/>
          <w:sz w:val="24"/>
          <w:szCs w:val="24"/>
          <w:lang w:val="lv-LV"/>
        </w:rPr>
        <w:t xml:space="preserve">% vairāk nekā </w:t>
      </w:r>
      <w:bookmarkEnd w:id="0"/>
      <w:r w:rsidR="00B612FB">
        <w:rPr>
          <w:b/>
          <w:sz w:val="24"/>
          <w:szCs w:val="24"/>
          <w:lang w:val="lv-LV"/>
        </w:rPr>
        <w:t>gadu iepriekš</w:t>
      </w:r>
      <w:r w:rsidR="000F3762" w:rsidRPr="0006179C">
        <w:rPr>
          <w:b/>
          <w:sz w:val="24"/>
          <w:szCs w:val="24"/>
          <w:lang w:val="lv-LV"/>
        </w:rPr>
        <w:t xml:space="preserve">. </w:t>
      </w:r>
      <w:r w:rsidR="008715C8">
        <w:rPr>
          <w:b/>
          <w:sz w:val="24"/>
          <w:szCs w:val="24"/>
          <w:lang w:val="lv-LV"/>
        </w:rPr>
        <w:t>Tāpat, jau d</w:t>
      </w:r>
      <w:r w:rsidR="0041298A">
        <w:rPr>
          <w:b/>
          <w:sz w:val="24"/>
          <w:szCs w:val="24"/>
          <w:lang w:val="lv-LV"/>
        </w:rPr>
        <w:t>ivpadsmit</w:t>
      </w:r>
      <w:r w:rsidR="008715C8">
        <w:rPr>
          <w:b/>
          <w:sz w:val="24"/>
          <w:szCs w:val="24"/>
          <w:lang w:val="lv-LV"/>
        </w:rPr>
        <w:t xml:space="preserve"> gadus pēc kārtas, t</w:t>
      </w:r>
      <w:r w:rsidR="00022BF3" w:rsidRPr="0006179C">
        <w:rPr>
          <w:b/>
          <w:sz w:val="24"/>
          <w:szCs w:val="24"/>
          <w:lang w:val="lv-LV"/>
        </w:rPr>
        <w:t>urpina pieaugt arī vidējās OCTA atlīdzības lielums</w:t>
      </w:r>
      <w:r w:rsidR="000F3762" w:rsidRPr="0006179C">
        <w:rPr>
          <w:b/>
          <w:sz w:val="24"/>
          <w:szCs w:val="24"/>
          <w:lang w:val="lv-LV"/>
        </w:rPr>
        <w:t>.</w:t>
      </w:r>
      <w:r w:rsidR="00D81561" w:rsidRPr="0006179C">
        <w:rPr>
          <w:b/>
          <w:sz w:val="24"/>
          <w:szCs w:val="24"/>
          <w:lang w:val="lv-LV"/>
        </w:rPr>
        <w:t xml:space="preserve"> </w:t>
      </w:r>
    </w:p>
    <w:p w14:paraId="293E25D0" w14:textId="77777777" w:rsidR="004C7756" w:rsidRPr="00972793" w:rsidRDefault="004C7756" w:rsidP="0006179C">
      <w:pPr>
        <w:spacing w:after="0" w:line="240" w:lineRule="auto"/>
        <w:jc w:val="both"/>
        <w:rPr>
          <w:b/>
          <w:sz w:val="24"/>
          <w:szCs w:val="24"/>
          <w:lang w:val="lv-LV"/>
        </w:rPr>
      </w:pPr>
    </w:p>
    <w:p w14:paraId="16E206C3" w14:textId="68E449DA" w:rsidR="00DC23E2" w:rsidRDefault="004B25AF" w:rsidP="0006179C">
      <w:pPr>
        <w:spacing w:after="0" w:line="240" w:lineRule="auto"/>
        <w:jc w:val="both"/>
        <w:rPr>
          <w:sz w:val="24"/>
          <w:szCs w:val="24"/>
          <w:lang w:val="lv-LV"/>
        </w:rPr>
      </w:pPr>
      <w:r w:rsidRPr="00641BB5">
        <w:rPr>
          <w:sz w:val="24"/>
          <w:szCs w:val="24"/>
          <w:lang w:val="lv-LV"/>
        </w:rPr>
        <w:t>Saskaņā ar LTAB datiem vidējā OCTA atlīdzība šobrīd sasniedz 1811 eiro</w:t>
      </w:r>
      <w:r w:rsidR="00DC23E2">
        <w:rPr>
          <w:sz w:val="24"/>
          <w:szCs w:val="24"/>
          <w:lang w:val="lv-LV"/>
        </w:rPr>
        <w:t>. “</w:t>
      </w:r>
      <w:r w:rsidR="00B13EA4">
        <w:rPr>
          <w:sz w:val="24"/>
          <w:szCs w:val="24"/>
          <w:lang w:val="lv-LV"/>
        </w:rPr>
        <w:t>OCTA vidējā</w:t>
      </w:r>
      <w:r w:rsidR="00DE2947">
        <w:rPr>
          <w:sz w:val="24"/>
          <w:szCs w:val="24"/>
          <w:lang w:val="lv-LV"/>
        </w:rPr>
        <w:t>s</w:t>
      </w:r>
      <w:r w:rsidR="00B13EA4">
        <w:rPr>
          <w:sz w:val="24"/>
          <w:szCs w:val="24"/>
          <w:lang w:val="lv-LV"/>
        </w:rPr>
        <w:t xml:space="preserve"> atlīdzība</w:t>
      </w:r>
      <w:r w:rsidR="00DE2947">
        <w:rPr>
          <w:sz w:val="24"/>
          <w:szCs w:val="24"/>
          <w:lang w:val="lv-LV"/>
        </w:rPr>
        <w:t xml:space="preserve">s </w:t>
      </w:r>
      <w:r w:rsidR="00641BB5">
        <w:rPr>
          <w:sz w:val="24"/>
          <w:szCs w:val="24"/>
          <w:lang w:val="lv-LV"/>
        </w:rPr>
        <w:t>pieaugums</w:t>
      </w:r>
      <w:r w:rsidR="00DE2947">
        <w:rPr>
          <w:sz w:val="24"/>
          <w:szCs w:val="24"/>
          <w:lang w:val="lv-LV"/>
        </w:rPr>
        <w:t xml:space="preserve"> galvenokārt </w:t>
      </w:r>
      <w:r w:rsidR="00DE2947" w:rsidRPr="001B7E14">
        <w:rPr>
          <w:sz w:val="24"/>
          <w:szCs w:val="24"/>
          <w:lang w:val="lv-LV"/>
        </w:rPr>
        <w:t xml:space="preserve">saistīts ar inflāciju, </w:t>
      </w:r>
      <w:r>
        <w:rPr>
          <w:sz w:val="24"/>
          <w:szCs w:val="24"/>
          <w:lang w:val="lv-LV"/>
        </w:rPr>
        <w:t xml:space="preserve">kā arī ar </w:t>
      </w:r>
      <w:r w:rsidR="00DE2947" w:rsidRPr="001B7E14">
        <w:rPr>
          <w:sz w:val="24"/>
          <w:szCs w:val="24"/>
          <w:lang w:val="lv-LV"/>
        </w:rPr>
        <w:t xml:space="preserve">auto remonta, </w:t>
      </w:r>
      <w:r w:rsidR="008A7920">
        <w:rPr>
          <w:sz w:val="24"/>
          <w:szCs w:val="24"/>
          <w:lang w:val="lv-LV"/>
        </w:rPr>
        <w:t xml:space="preserve">būvniecības, </w:t>
      </w:r>
      <w:r w:rsidR="00DE2947" w:rsidRPr="001B7E14">
        <w:rPr>
          <w:sz w:val="24"/>
          <w:szCs w:val="24"/>
          <w:lang w:val="lv-LV"/>
        </w:rPr>
        <w:t xml:space="preserve">medicīnas un rehabilitācijas pakalpojumu cenu </w:t>
      </w:r>
      <w:r w:rsidR="00DE2947">
        <w:rPr>
          <w:sz w:val="24"/>
          <w:szCs w:val="24"/>
          <w:lang w:val="lv-LV"/>
        </w:rPr>
        <w:t>kāpumu</w:t>
      </w:r>
      <w:r w:rsidR="00DC23E2">
        <w:rPr>
          <w:sz w:val="24"/>
          <w:szCs w:val="24"/>
          <w:lang w:val="lv-LV"/>
        </w:rPr>
        <w:t>,” stāsta LTAB valdes priekšsēdētājs Jānis Abāšins</w:t>
      </w:r>
      <w:r w:rsidR="00DE2947">
        <w:rPr>
          <w:sz w:val="24"/>
          <w:szCs w:val="24"/>
          <w:lang w:val="lv-LV"/>
        </w:rPr>
        <w:t>.</w:t>
      </w:r>
    </w:p>
    <w:p w14:paraId="73BE409E" w14:textId="77777777" w:rsidR="001B7E14" w:rsidRPr="001B7E14" w:rsidRDefault="001B7E14" w:rsidP="0006179C">
      <w:pPr>
        <w:spacing w:after="0" w:line="240" w:lineRule="auto"/>
        <w:jc w:val="both"/>
        <w:rPr>
          <w:sz w:val="24"/>
          <w:szCs w:val="24"/>
          <w:lang w:val="lv-LV"/>
        </w:rPr>
      </w:pPr>
    </w:p>
    <w:p w14:paraId="301CAA3D" w14:textId="6DEB7B61" w:rsidR="00B90A51" w:rsidRDefault="004B25AF" w:rsidP="0006179C">
      <w:pPr>
        <w:spacing w:after="0" w:line="240" w:lineRule="auto"/>
        <w:jc w:val="both"/>
        <w:rPr>
          <w:sz w:val="24"/>
          <w:szCs w:val="24"/>
          <w:lang w:val="lv-LV"/>
        </w:rPr>
      </w:pPr>
      <w:r>
        <w:rPr>
          <w:sz w:val="24"/>
          <w:szCs w:val="24"/>
          <w:lang w:val="lv-LV"/>
        </w:rPr>
        <w:t>Pēdējā gada laikā</w:t>
      </w:r>
      <w:r w:rsidR="00A536AA" w:rsidRPr="004C7756">
        <w:rPr>
          <w:sz w:val="24"/>
          <w:szCs w:val="24"/>
          <w:lang w:val="lv-LV"/>
        </w:rPr>
        <w:t xml:space="preserve"> apdrošinātājiem pieteikt</w:t>
      </w:r>
      <w:r>
        <w:rPr>
          <w:sz w:val="24"/>
          <w:szCs w:val="24"/>
          <w:lang w:val="lv-LV"/>
        </w:rPr>
        <w:t>i</w:t>
      </w:r>
      <w:r w:rsidR="00A536AA" w:rsidRPr="004C7756">
        <w:rPr>
          <w:sz w:val="24"/>
          <w:szCs w:val="24"/>
          <w:lang w:val="lv-LV"/>
        </w:rPr>
        <w:t xml:space="preserve"> </w:t>
      </w:r>
      <w:r>
        <w:rPr>
          <w:sz w:val="24"/>
          <w:szCs w:val="24"/>
          <w:lang w:val="lv-LV"/>
        </w:rPr>
        <w:t xml:space="preserve">39740 </w:t>
      </w:r>
      <w:r w:rsidR="00450359">
        <w:rPr>
          <w:sz w:val="24"/>
          <w:szCs w:val="24"/>
          <w:lang w:val="lv-LV"/>
        </w:rPr>
        <w:t xml:space="preserve">ceļu satiksmes </w:t>
      </w:r>
      <w:r w:rsidR="00A536AA" w:rsidRPr="004C7756">
        <w:rPr>
          <w:sz w:val="24"/>
          <w:szCs w:val="24"/>
          <w:lang w:val="lv-LV"/>
        </w:rPr>
        <w:t>negadījum</w:t>
      </w:r>
      <w:r>
        <w:rPr>
          <w:sz w:val="24"/>
          <w:szCs w:val="24"/>
          <w:lang w:val="lv-LV"/>
        </w:rPr>
        <w:t xml:space="preserve">i </w:t>
      </w:r>
      <w:r w:rsidR="00450359">
        <w:rPr>
          <w:sz w:val="24"/>
          <w:szCs w:val="24"/>
          <w:lang w:val="lv-LV"/>
        </w:rPr>
        <w:t>(turpmāk – CSNg)</w:t>
      </w:r>
      <w:r w:rsidR="00161720">
        <w:rPr>
          <w:sz w:val="24"/>
          <w:szCs w:val="24"/>
          <w:lang w:val="lv-LV"/>
        </w:rPr>
        <w:t xml:space="preserve">, kas ir </w:t>
      </w:r>
      <w:r w:rsidR="002C6525">
        <w:rPr>
          <w:sz w:val="24"/>
          <w:szCs w:val="24"/>
          <w:lang w:val="lv-LV"/>
        </w:rPr>
        <w:t xml:space="preserve">par </w:t>
      </w:r>
      <w:r w:rsidR="00B612FB">
        <w:rPr>
          <w:sz w:val="24"/>
          <w:szCs w:val="24"/>
          <w:lang w:val="lv-LV"/>
        </w:rPr>
        <w:t>10,1</w:t>
      </w:r>
      <w:r w:rsidR="002C6525">
        <w:rPr>
          <w:sz w:val="24"/>
          <w:szCs w:val="24"/>
          <w:lang w:val="lv-LV"/>
        </w:rPr>
        <w:t xml:space="preserve">% vairāk nekā </w:t>
      </w:r>
      <w:r>
        <w:rPr>
          <w:sz w:val="24"/>
          <w:szCs w:val="24"/>
          <w:lang w:val="lv-LV"/>
        </w:rPr>
        <w:t>iepriekšējā periodā</w:t>
      </w:r>
      <w:r w:rsidR="00A536AA" w:rsidRPr="004C7756">
        <w:rPr>
          <w:sz w:val="24"/>
          <w:szCs w:val="24"/>
          <w:lang w:val="lv-LV"/>
        </w:rPr>
        <w:t xml:space="preserve">. </w:t>
      </w:r>
      <w:r>
        <w:rPr>
          <w:sz w:val="24"/>
          <w:szCs w:val="24"/>
          <w:lang w:val="lv-LV"/>
        </w:rPr>
        <w:t xml:space="preserve">Lielākā daļa </w:t>
      </w:r>
      <w:r w:rsidR="00B90A51">
        <w:rPr>
          <w:sz w:val="24"/>
          <w:szCs w:val="24"/>
          <w:lang w:val="lv-LV"/>
        </w:rPr>
        <w:t xml:space="preserve">negadījumu </w:t>
      </w:r>
      <w:r>
        <w:rPr>
          <w:sz w:val="24"/>
          <w:szCs w:val="24"/>
          <w:lang w:val="lv-LV"/>
        </w:rPr>
        <w:t xml:space="preserve">- 73,6% </w:t>
      </w:r>
      <w:r w:rsidR="00B90A51">
        <w:rPr>
          <w:sz w:val="24"/>
          <w:szCs w:val="24"/>
          <w:lang w:val="lv-LV"/>
        </w:rPr>
        <w:t xml:space="preserve">fiksēti ar saskaņoto paziņojumu, bet </w:t>
      </w:r>
      <w:r w:rsidR="00B612FB">
        <w:rPr>
          <w:sz w:val="24"/>
          <w:szCs w:val="24"/>
          <w:lang w:val="lv-LV"/>
        </w:rPr>
        <w:t>26,4</w:t>
      </w:r>
      <w:r w:rsidR="00B90A51">
        <w:rPr>
          <w:sz w:val="24"/>
          <w:szCs w:val="24"/>
          <w:lang w:val="lv-LV"/>
        </w:rPr>
        <w:t xml:space="preserve">% </w:t>
      </w:r>
      <w:r>
        <w:rPr>
          <w:sz w:val="24"/>
          <w:szCs w:val="24"/>
          <w:lang w:val="lv-LV"/>
        </w:rPr>
        <w:t xml:space="preserve">- </w:t>
      </w:r>
      <w:r w:rsidR="00B90A51">
        <w:rPr>
          <w:sz w:val="24"/>
          <w:szCs w:val="24"/>
          <w:lang w:val="lv-LV"/>
        </w:rPr>
        <w:t xml:space="preserve">ar </w:t>
      </w:r>
      <w:r w:rsidR="00641BB5">
        <w:rPr>
          <w:sz w:val="24"/>
          <w:szCs w:val="24"/>
          <w:lang w:val="lv-LV"/>
        </w:rPr>
        <w:t>Valsts</w:t>
      </w:r>
      <w:r w:rsidR="00B90A51">
        <w:rPr>
          <w:sz w:val="24"/>
          <w:szCs w:val="24"/>
          <w:lang w:val="lv-LV"/>
        </w:rPr>
        <w:t xml:space="preserve"> policijas protokolu. </w:t>
      </w:r>
      <w:r>
        <w:rPr>
          <w:sz w:val="24"/>
          <w:szCs w:val="24"/>
          <w:lang w:val="lv-LV"/>
        </w:rPr>
        <w:t>G</w:t>
      </w:r>
      <w:r w:rsidR="00B612FB">
        <w:rPr>
          <w:sz w:val="24"/>
          <w:szCs w:val="24"/>
          <w:lang w:val="lv-LV"/>
        </w:rPr>
        <w:t xml:space="preserve">andrīz </w:t>
      </w:r>
      <w:r w:rsidR="00B90A51">
        <w:rPr>
          <w:sz w:val="24"/>
          <w:szCs w:val="24"/>
          <w:lang w:val="lv-LV"/>
        </w:rPr>
        <w:t>93</w:t>
      </w:r>
      <w:r w:rsidR="002C6525">
        <w:rPr>
          <w:sz w:val="24"/>
          <w:szCs w:val="24"/>
          <w:lang w:val="lv-LV"/>
        </w:rPr>
        <w:t xml:space="preserve"> </w:t>
      </w:r>
      <w:r w:rsidR="00B90A51">
        <w:rPr>
          <w:sz w:val="24"/>
          <w:szCs w:val="24"/>
          <w:lang w:val="lv-LV"/>
        </w:rPr>
        <w:t xml:space="preserve">% </w:t>
      </w:r>
      <w:r w:rsidR="00B55BD1">
        <w:rPr>
          <w:sz w:val="24"/>
          <w:szCs w:val="24"/>
          <w:lang w:val="lv-LV"/>
        </w:rPr>
        <w:t xml:space="preserve">CSNg </w:t>
      </w:r>
      <w:r w:rsidR="00B90A51">
        <w:rPr>
          <w:sz w:val="24"/>
          <w:szCs w:val="24"/>
          <w:lang w:val="lv-LV"/>
        </w:rPr>
        <w:t xml:space="preserve">notikuši Latvijā, bet </w:t>
      </w:r>
      <w:r w:rsidR="00B612FB">
        <w:rPr>
          <w:sz w:val="24"/>
          <w:szCs w:val="24"/>
          <w:lang w:val="lv-LV"/>
        </w:rPr>
        <w:t xml:space="preserve">nedaudz vairāk nekā </w:t>
      </w:r>
      <w:r w:rsidR="002C6525">
        <w:rPr>
          <w:sz w:val="24"/>
          <w:szCs w:val="24"/>
          <w:lang w:val="lv-LV"/>
        </w:rPr>
        <w:t xml:space="preserve">7 </w:t>
      </w:r>
      <w:r w:rsidR="00B90A51">
        <w:rPr>
          <w:sz w:val="24"/>
          <w:szCs w:val="24"/>
          <w:lang w:val="lv-LV"/>
        </w:rPr>
        <w:t>% - ārvalstīs (visvairāk Vācijā, Lietuvā un Igaunijā).</w:t>
      </w:r>
    </w:p>
    <w:p w14:paraId="169EAB7B" w14:textId="77777777" w:rsidR="00B612FB" w:rsidRDefault="00B612FB" w:rsidP="0006179C">
      <w:pPr>
        <w:spacing w:after="0" w:line="240" w:lineRule="auto"/>
        <w:jc w:val="both"/>
        <w:rPr>
          <w:sz w:val="24"/>
          <w:szCs w:val="24"/>
          <w:lang w:val="lv-LV"/>
        </w:rPr>
      </w:pPr>
    </w:p>
    <w:p w14:paraId="137A8E74" w14:textId="35EAE545" w:rsidR="00B612FB" w:rsidRDefault="00B612FB" w:rsidP="0006179C">
      <w:pPr>
        <w:spacing w:after="0" w:line="240" w:lineRule="auto"/>
        <w:jc w:val="both"/>
        <w:rPr>
          <w:sz w:val="24"/>
          <w:szCs w:val="24"/>
          <w:lang w:val="lv-LV"/>
        </w:rPr>
      </w:pPr>
      <w:r>
        <w:rPr>
          <w:sz w:val="24"/>
          <w:szCs w:val="24"/>
          <w:lang w:val="lv-LV"/>
        </w:rPr>
        <w:t>“</w:t>
      </w:r>
      <w:r w:rsidR="00B55BD1" w:rsidRPr="00B55BD1">
        <w:rPr>
          <w:sz w:val="24"/>
          <w:szCs w:val="24"/>
          <w:lang w:val="lv-LV"/>
        </w:rPr>
        <w:t>Pozitīva tendence ir tā, ka samazinās negadījumu skaits, kuros iesaistīti neapdrošināti transportlīdzekļi. Ja 2022.–2023. gadā tie veidoja 0,87% no visiem gadījumiem, tad pēdējos 12 mēnešos – 0,54%. Šo uzlabojumu veicina gan pieaugošais radaru skaits uz ceļiem, gan LTAB informatīvās kampaņas par OCTA nozīmi</w:t>
      </w:r>
      <w:r w:rsidR="0041298A">
        <w:rPr>
          <w:sz w:val="24"/>
          <w:szCs w:val="24"/>
          <w:lang w:val="lv-LV"/>
        </w:rPr>
        <w:t>,” informē LTAB valdes priekšsēdētājs.</w:t>
      </w:r>
    </w:p>
    <w:p w14:paraId="7A4823B0" w14:textId="77777777" w:rsidR="00B90A51" w:rsidRDefault="00B90A51" w:rsidP="0006179C">
      <w:pPr>
        <w:spacing w:after="0" w:line="240" w:lineRule="auto"/>
        <w:jc w:val="both"/>
        <w:rPr>
          <w:sz w:val="24"/>
          <w:szCs w:val="24"/>
          <w:lang w:val="lv-LV"/>
        </w:rPr>
      </w:pPr>
    </w:p>
    <w:p w14:paraId="624C3116" w14:textId="521C623B" w:rsidR="00557E48" w:rsidRDefault="00161720" w:rsidP="0006179C">
      <w:pPr>
        <w:spacing w:after="0" w:line="240" w:lineRule="auto"/>
        <w:jc w:val="both"/>
        <w:rPr>
          <w:color w:val="000000"/>
          <w:sz w:val="24"/>
          <w:szCs w:val="24"/>
          <w:lang w:val="lv-LV" w:eastAsia="lv-LV"/>
        </w:rPr>
      </w:pPr>
      <w:r>
        <w:rPr>
          <w:sz w:val="24"/>
          <w:szCs w:val="24"/>
          <w:lang w:val="lv-LV"/>
        </w:rPr>
        <w:t>A</w:t>
      </w:r>
      <w:r w:rsidRPr="00161720">
        <w:rPr>
          <w:sz w:val="24"/>
          <w:szCs w:val="24"/>
          <w:lang w:val="lv-LV"/>
        </w:rPr>
        <w:t xml:space="preserve">pdrošināšanas sabiedrības un </w:t>
      </w:r>
      <w:r>
        <w:rPr>
          <w:sz w:val="24"/>
          <w:szCs w:val="24"/>
          <w:lang w:val="lv-LV"/>
        </w:rPr>
        <w:t>LTAB</w:t>
      </w:r>
      <w:r w:rsidRPr="00161720">
        <w:rPr>
          <w:sz w:val="24"/>
          <w:szCs w:val="24"/>
          <w:lang w:val="lv-LV"/>
        </w:rPr>
        <w:t xml:space="preserve"> </w:t>
      </w:r>
      <w:r w:rsidR="0041298A">
        <w:rPr>
          <w:sz w:val="24"/>
          <w:szCs w:val="24"/>
          <w:lang w:val="lv-LV"/>
        </w:rPr>
        <w:t xml:space="preserve">pēdējos 12 mēnešos </w:t>
      </w:r>
      <w:r w:rsidRPr="00161720">
        <w:rPr>
          <w:sz w:val="24"/>
          <w:szCs w:val="24"/>
          <w:lang w:val="lv-LV"/>
        </w:rPr>
        <w:t xml:space="preserve">kopā pieņēmuši lēmumus par OCTA atlīdzību izmaksu </w:t>
      </w:r>
      <w:r w:rsidR="0041298A" w:rsidRPr="0041298A">
        <w:rPr>
          <w:sz w:val="24"/>
          <w:szCs w:val="24"/>
          <w:lang w:val="lv-LV"/>
        </w:rPr>
        <w:t>84,5</w:t>
      </w:r>
      <w:r w:rsidR="002C6525" w:rsidRPr="002C6525">
        <w:rPr>
          <w:sz w:val="24"/>
          <w:szCs w:val="24"/>
          <w:lang w:val="lv-LV"/>
        </w:rPr>
        <w:t xml:space="preserve"> </w:t>
      </w:r>
      <w:r w:rsidRPr="00161720">
        <w:rPr>
          <w:sz w:val="24"/>
          <w:szCs w:val="24"/>
          <w:lang w:val="lv-LV"/>
        </w:rPr>
        <w:t>miljonu EUR apmērā</w:t>
      </w:r>
      <w:r>
        <w:rPr>
          <w:sz w:val="24"/>
          <w:szCs w:val="24"/>
          <w:lang w:val="lv-LV"/>
        </w:rPr>
        <w:t xml:space="preserve">. </w:t>
      </w:r>
      <w:r w:rsidR="004C7756" w:rsidRPr="004C7756">
        <w:rPr>
          <w:color w:val="000000"/>
          <w:sz w:val="24"/>
          <w:szCs w:val="24"/>
          <w:lang w:val="lv-LV" w:eastAsia="lv-LV"/>
        </w:rPr>
        <w:t>Visvairāk apdrošinātāji atlīdzinājuši nodarītos zaudējumus transportlīdzeklim (</w:t>
      </w:r>
      <w:r w:rsidR="0041298A">
        <w:rPr>
          <w:color w:val="000000"/>
          <w:sz w:val="24"/>
          <w:szCs w:val="24"/>
          <w:lang w:val="lv-LV" w:eastAsia="lv-LV"/>
        </w:rPr>
        <w:t>74,8</w:t>
      </w:r>
      <w:r w:rsidR="004C7756" w:rsidRPr="004C7756">
        <w:rPr>
          <w:color w:val="000000"/>
          <w:sz w:val="24"/>
          <w:szCs w:val="24"/>
          <w:lang w:val="lv-LV" w:eastAsia="lv-LV"/>
        </w:rPr>
        <w:t>%), cietušajām personām (</w:t>
      </w:r>
      <w:r w:rsidR="00B90A51">
        <w:rPr>
          <w:color w:val="000000"/>
          <w:sz w:val="24"/>
          <w:szCs w:val="24"/>
          <w:lang w:val="lv-LV" w:eastAsia="lv-LV"/>
        </w:rPr>
        <w:t>1</w:t>
      </w:r>
      <w:r w:rsidR="0041298A">
        <w:rPr>
          <w:color w:val="000000"/>
          <w:sz w:val="24"/>
          <w:szCs w:val="24"/>
          <w:lang w:val="lv-LV" w:eastAsia="lv-LV"/>
        </w:rPr>
        <w:t>0,4</w:t>
      </w:r>
      <w:r w:rsidR="004C7756" w:rsidRPr="004C7756">
        <w:rPr>
          <w:color w:val="000000"/>
          <w:sz w:val="24"/>
          <w:szCs w:val="24"/>
          <w:lang w:val="lv-LV" w:eastAsia="lv-LV"/>
        </w:rPr>
        <w:t>%) un valsts, pašvaldību iestādēm par CSNg cietušo ārstēšanu, uzturēšanu ārstniecības iestādēs, kā arī izmaksātajiem pabalstiem (</w:t>
      </w:r>
      <w:r w:rsidR="008715C8">
        <w:rPr>
          <w:color w:val="000000"/>
          <w:sz w:val="24"/>
          <w:szCs w:val="24"/>
          <w:lang w:val="lv-LV" w:eastAsia="lv-LV"/>
        </w:rPr>
        <w:t>6,</w:t>
      </w:r>
      <w:r w:rsidR="0041298A">
        <w:rPr>
          <w:color w:val="000000"/>
          <w:sz w:val="24"/>
          <w:szCs w:val="24"/>
          <w:lang w:val="lv-LV" w:eastAsia="lv-LV"/>
        </w:rPr>
        <w:t>4</w:t>
      </w:r>
      <w:r w:rsidR="004C7756" w:rsidRPr="004C7756">
        <w:rPr>
          <w:color w:val="000000"/>
          <w:sz w:val="24"/>
          <w:szCs w:val="24"/>
          <w:lang w:val="lv-LV" w:eastAsia="lv-LV"/>
        </w:rPr>
        <w:t>%).</w:t>
      </w:r>
    </w:p>
    <w:p w14:paraId="40C4AD16" w14:textId="77777777" w:rsidR="00E63E67" w:rsidRDefault="00E63E67" w:rsidP="0006179C">
      <w:pPr>
        <w:spacing w:after="0" w:line="240" w:lineRule="auto"/>
        <w:jc w:val="both"/>
        <w:rPr>
          <w:color w:val="000000"/>
          <w:sz w:val="24"/>
          <w:szCs w:val="24"/>
          <w:lang w:val="lv-LV" w:eastAsia="lv-LV"/>
        </w:rPr>
      </w:pPr>
    </w:p>
    <w:p w14:paraId="77597B4A" w14:textId="523C094E" w:rsidR="00E63E67" w:rsidRDefault="00B55BD1" w:rsidP="0006179C">
      <w:pPr>
        <w:spacing w:after="0" w:line="240" w:lineRule="auto"/>
        <w:jc w:val="both"/>
        <w:rPr>
          <w:color w:val="000000"/>
          <w:sz w:val="24"/>
          <w:szCs w:val="24"/>
          <w:lang w:val="lv-LV" w:eastAsia="lv-LV"/>
        </w:rPr>
      </w:pPr>
      <w:r w:rsidRPr="00B55BD1">
        <w:rPr>
          <w:color w:val="000000"/>
          <w:sz w:val="24"/>
          <w:szCs w:val="24"/>
          <w:lang w:val="lv-LV" w:eastAsia="lv-LV"/>
        </w:rPr>
        <w:t xml:space="preserve">OCTA apdrošināšana sedz ne tikai transportlīdzekļu bojājumus. Tā kompensē arī izdevumus par cietušo </w:t>
      </w:r>
      <w:r>
        <w:rPr>
          <w:color w:val="000000"/>
          <w:sz w:val="24"/>
          <w:szCs w:val="24"/>
          <w:lang w:val="lv-LV" w:eastAsia="lv-LV"/>
        </w:rPr>
        <w:t xml:space="preserve">personu </w:t>
      </w:r>
      <w:r w:rsidRPr="00B55BD1">
        <w:rPr>
          <w:color w:val="000000"/>
          <w:sz w:val="24"/>
          <w:szCs w:val="24"/>
          <w:lang w:val="lv-LV" w:eastAsia="lv-LV"/>
        </w:rPr>
        <w:t>ārstēšanu un rehabilitāciju, neatliekamo medicīnisko palīdzību, uzturēšanos slimnīcā, kā arī citus ar veselības atjaunošanu saistītus izdevumus. Papildus tiek segti arī valsts un pašvaldību izdevumi, piemēram, slimības lapas, pensijas, pabalsti, apbedīšanas izmaksas, tehnisko palīglīdzekļu iegāde vai īre, kā arī bojājumi ceļiem, ēkām un videi</w:t>
      </w:r>
      <w:r w:rsidR="00E63E67" w:rsidRPr="00E63E67">
        <w:rPr>
          <w:color w:val="000000"/>
          <w:sz w:val="24"/>
          <w:szCs w:val="24"/>
          <w:lang w:val="lv-LV" w:eastAsia="lv-LV"/>
        </w:rPr>
        <w:t>.</w:t>
      </w:r>
    </w:p>
    <w:p w14:paraId="2B74002D" w14:textId="1C3796B1" w:rsidR="00761438" w:rsidRDefault="00761438" w:rsidP="0006179C">
      <w:pPr>
        <w:spacing w:after="0" w:line="240" w:lineRule="auto"/>
        <w:jc w:val="both"/>
        <w:rPr>
          <w:color w:val="000000"/>
          <w:sz w:val="24"/>
          <w:szCs w:val="24"/>
          <w:lang w:val="lv-LV" w:eastAsia="lv-LV"/>
        </w:rPr>
      </w:pPr>
    </w:p>
    <w:p w14:paraId="54EADA99" w14:textId="1AA0640C" w:rsidR="00605F87" w:rsidRPr="004B25AF" w:rsidRDefault="00605F87" w:rsidP="0006179C">
      <w:pPr>
        <w:spacing w:after="0" w:line="240" w:lineRule="auto"/>
        <w:jc w:val="both"/>
        <w:rPr>
          <w:sz w:val="24"/>
          <w:szCs w:val="24"/>
          <w:lang w:val="pt-BR"/>
        </w:rPr>
      </w:pPr>
      <w:r w:rsidRPr="004B25AF">
        <w:rPr>
          <w:sz w:val="24"/>
          <w:szCs w:val="24"/>
          <w:lang w:val="pt-BR"/>
        </w:rPr>
        <w:t>1997. gadā Latvijā tika ieviesta OCTA sistēma. Tiesības veikt OCTA apdrošināšanu Latvijā ir AAS “Balta”, AAS “Baltijas Apdrošināšanas Nams”, AAS “BTA Baltic Insurance Company”, “Compensa Vienna Insurance Group” ADB Latvijas filiāle, “ERGO Insurance” SE Latvijas filiāle, ADB “Gjensidige” Latvijas filiāle, “If P&amp;C Insurance” AS Latvijas filiāle</w:t>
      </w:r>
      <w:r w:rsidR="00DA1A05" w:rsidRPr="004B25AF">
        <w:rPr>
          <w:sz w:val="24"/>
          <w:szCs w:val="24"/>
          <w:lang w:val="pt-BR"/>
        </w:rPr>
        <w:t xml:space="preserve">, </w:t>
      </w:r>
      <w:r w:rsidRPr="004B25AF">
        <w:rPr>
          <w:sz w:val="24"/>
          <w:szCs w:val="24"/>
          <w:lang w:val="pt-BR"/>
        </w:rPr>
        <w:t>“Swedbank P&amp;C Insurance” AS Latvijas filiāle</w:t>
      </w:r>
      <w:r w:rsidR="00DA1A05" w:rsidRPr="004B25AF">
        <w:rPr>
          <w:sz w:val="24"/>
          <w:szCs w:val="24"/>
          <w:lang w:val="pt-BR"/>
        </w:rPr>
        <w:t xml:space="preserve"> un «Balcia Insurance» SE</w:t>
      </w:r>
      <w:r w:rsidRPr="004B25AF">
        <w:rPr>
          <w:sz w:val="24"/>
          <w:szCs w:val="24"/>
          <w:lang w:val="pt-BR"/>
        </w:rPr>
        <w:t>.</w:t>
      </w:r>
    </w:p>
    <w:p w14:paraId="35F67807" w14:textId="6F24627C" w:rsidR="00E22A84" w:rsidRPr="003472AE" w:rsidRDefault="00E22A84" w:rsidP="004C7756">
      <w:pPr>
        <w:spacing w:after="0" w:line="240" w:lineRule="auto"/>
        <w:jc w:val="right"/>
        <w:rPr>
          <w:rFonts w:cs="Times New Roman"/>
          <w:bCs/>
          <w:i/>
          <w:sz w:val="20"/>
          <w:szCs w:val="20"/>
          <w:lang w:val="lv-LV"/>
        </w:rPr>
      </w:pPr>
      <w:r w:rsidRPr="003472AE">
        <w:rPr>
          <w:rFonts w:cs="Times New Roman"/>
          <w:bCs/>
          <w:i/>
          <w:sz w:val="20"/>
          <w:szCs w:val="20"/>
          <w:lang w:val="lv-LV"/>
        </w:rPr>
        <w:t>Papildus informācija</w:t>
      </w:r>
    </w:p>
    <w:p w14:paraId="5AA21BB5" w14:textId="27002A67" w:rsidR="00E22A84" w:rsidRPr="003472AE" w:rsidRDefault="00E22A84" w:rsidP="004C7756">
      <w:pPr>
        <w:spacing w:after="0" w:line="240" w:lineRule="auto"/>
        <w:jc w:val="right"/>
        <w:rPr>
          <w:rFonts w:cs="Times New Roman"/>
          <w:bCs/>
          <w:i/>
          <w:sz w:val="20"/>
          <w:szCs w:val="20"/>
          <w:lang w:val="lv-LV"/>
        </w:rPr>
      </w:pPr>
      <w:r w:rsidRPr="003472AE">
        <w:rPr>
          <w:rFonts w:cs="Times New Roman"/>
          <w:bCs/>
          <w:i/>
          <w:sz w:val="20"/>
          <w:szCs w:val="20"/>
          <w:lang w:val="lv-LV"/>
        </w:rPr>
        <w:t>LTAB sabiedrisko attiecību konsultants</w:t>
      </w:r>
      <w:r w:rsidR="0006179C">
        <w:rPr>
          <w:rFonts w:cs="Times New Roman"/>
          <w:bCs/>
          <w:i/>
          <w:sz w:val="20"/>
          <w:szCs w:val="20"/>
          <w:lang w:val="lv-LV"/>
        </w:rPr>
        <w:t xml:space="preserve"> </w:t>
      </w:r>
      <w:r w:rsidRPr="003472AE">
        <w:rPr>
          <w:rFonts w:cs="Times New Roman"/>
          <w:bCs/>
          <w:i/>
          <w:sz w:val="20"/>
          <w:szCs w:val="20"/>
          <w:lang w:val="lv-LV"/>
        </w:rPr>
        <w:t>Gints Lazdiņš</w:t>
      </w:r>
    </w:p>
    <w:p w14:paraId="69A6FE67" w14:textId="424FC530" w:rsidR="00617E51" w:rsidRPr="004B25AF" w:rsidRDefault="00E22A84" w:rsidP="004C7756">
      <w:pPr>
        <w:spacing w:after="0" w:line="240" w:lineRule="auto"/>
        <w:jc w:val="right"/>
        <w:rPr>
          <w:sz w:val="20"/>
          <w:szCs w:val="20"/>
          <w:lang w:val="pt-BR"/>
        </w:rPr>
      </w:pPr>
      <w:proofErr w:type="spellStart"/>
      <w:r w:rsidRPr="003472AE">
        <w:rPr>
          <w:rFonts w:cs="Times New Roman"/>
          <w:bCs/>
          <w:i/>
          <w:sz w:val="20"/>
          <w:szCs w:val="20"/>
          <w:lang w:val="lv-LV"/>
        </w:rPr>
        <w:t>Tālr</w:t>
      </w:r>
      <w:proofErr w:type="spellEnd"/>
      <w:r w:rsidRPr="003472AE">
        <w:rPr>
          <w:rFonts w:cs="Times New Roman"/>
          <w:bCs/>
          <w:i/>
          <w:sz w:val="20"/>
          <w:szCs w:val="20"/>
          <w:lang w:val="lv-LV"/>
        </w:rPr>
        <w:t>: +371 29442282, E-</w:t>
      </w:r>
      <w:r w:rsidRPr="004B25AF">
        <w:rPr>
          <w:rFonts w:cs="Times New Roman"/>
          <w:bCs/>
          <w:i/>
          <w:sz w:val="20"/>
          <w:szCs w:val="20"/>
          <w:lang w:val="pt-BR"/>
        </w:rPr>
        <w:t>pasts: gints@olsen.lv</w:t>
      </w:r>
    </w:p>
    <w:sectPr w:rsidR="00617E51" w:rsidRPr="004B25AF" w:rsidSect="002C6525">
      <w:headerReference w:type="default" r:id="rId7"/>
      <w:footerReference w:type="default" r:id="rId8"/>
      <w:pgSz w:w="11906" w:h="16838"/>
      <w:pgMar w:top="1280" w:right="1133" w:bottom="1276"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0AECD" w14:textId="77777777" w:rsidR="00237A3C" w:rsidRDefault="00237A3C" w:rsidP="00C62AF7">
      <w:pPr>
        <w:spacing w:after="0" w:line="240" w:lineRule="auto"/>
      </w:pPr>
      <w:r>
        <w:separator/>
      </w:r>
    </w:p>
  </w:endnote>
  <w:endnote w:type="continuationSeparator" w:id="0">
    <w:p w14:paraId="0B7C185D" w14:textId="77777777" w:rsidR="00237A3C" w:rsidRDefault="00237A3C" w:rsidP="00C62AF7">
      <w:pPr>
        <w:spacing w:after="0" w:line="240" w:lineRule="auto"/>
      </w:pPr>
      <w:r>
        <w:continuationSeparator/>
      </w:r>
    </w:p>
  </w:endnote>
  <w:endnote w:type="continuationNotice" w:id="1">
    <w:p w14:paraId="71A43071" w14:textId="77777777" w:rsidR="00237A3C" w:rsidRDefault="00237A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23F6" w14:textId="32E2144D" w:rsidR="007C78FE" w:rsidRDefault="007C78FE" w:rsidP="00C62AF7">
    <w:pPr>
      <w:pStyle w:val="Footer"/>
      <w:jc w:val="center"/>
    </w:pPr>
  </w:p>
  <w:p w14:paraId="6C8369DC" w14:textId="75249407" w:rsidR="007C78FE" w:rsidRDefault="00605F87" w:rsidP="00C62AF7">
    <w:pPr>
      <w:pStyle w:val="Footer"/>
      <w:jc w:val="center"/>
    </w:pPr>
    <w:r>
      <w:rPr>
        <w:noProof/>
      </w:rPr>
      <w:drawing>
        <wp:inline distT="0" distB="0" distL="0" distR="0" wp14:anchorId="174FD5EB" wp14:editId="23E56861">
          <wp:extent cx="6031230" cy="658063"/>
          <wp:effectExtent l="0" t="0" r="7620" b="8890"/>
          <wp:docPr id="1820764162" name="Picture 1820764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1230" cy="658063"/>
                  </a:xfrm>
                  <a:prstGeom prst="rect">
                    <a:avLst/>
                  </a:prstGeom>
                  <a:noFill/>
                  <a:ln>
                    <a:noFill/>
                  </a:ln>
                </pic:spPr>
              </pic:pic>
            </a:graphicData>
          </a:graphic>
        </wp:inline>
      </w:drawing>
    </w:r>
  </w:p>
  <w:p w14:paraId="0881006E" w14:textId="77777777" w:rsidR="007C78FE" w:rsidRDefault="007C7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F9C15" w14:textId="77777777" w:rsidR="00237A3C" w:rsidRDefault="00237A3C" w:rsidP="00C62AF7">
      <w:pPr>
        <w:spacing w:after="0" w:line="240" w:lineRule="auto"/>
      </w:pPr>
      <w:r>
        <w:separator/>
      </w:r>
    </w:p>
  </w:footnote>
  <w:footnote w:type="continuationSeparator" w:id="0">
    <w:p w14:paraId="5D5EA295" w14:textId="77777777" w:rsidR="00237A3C" w:rsidRDefault="00237A3C" w:rsidP="00C62AF7">
      <w:pPr>
        <w:spacing w:after="0" w:line="240" w:lineRule="auto"/>
      </w:pPr>
      <w:r>
        <w:continuationSeparator/>
      </w:r>
    </w:p>
  </w:footnote>
  <w:footnote w:type="continuationNotice" w:id="1">
    <w:p w14:paraId="3B2F7F86" w14:textId="77777777" w:rsidR="00237A3C" w:rsidRDefault="00237A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CC04" w14:textId="571ACD84" w:rsidR="007C78FE" w:rsidRDefault="00605F87">
    <w:pPr>
      <w:pStyle w:val="Header"/>
    </w:pPr>
    <w:r>
      <w:rPr>
        <w:noProof/>
      </w:rPr>
      <w:drawing>
        <wp:anchor distT="0" distB="0" distL="114300" distR="114300" simplePos="0" relativeHeight="251660288" behindDoc="1" locked="0" layoutInCell="1" allowOverlap="1" wp14:anchorId="4F969BB2" wp14:editId="2D71FF43">
          <wp:simplePos x="0" y="0"/>
          <wp:positionH relativeFrom="column">
            <wp:posOffset>2489200</wp:posOffset>
          </wp:positionH>
          <wp:positionV relativeFrom="paragraph">
            <wp:posOffset>-375920</wp:posOffset>
          </wp:positionV>
          <wp:extent cx="1155700" cy="866456"/>
          <wp:effectExtent l="0" t="0" r="6350" b="0"/>
          <wp:wrapNone/>
          <wp:docPr id="223574828" name="Picture 22357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866456"/>
                  </a:xfrm>
                  <a:prstGeom prst="rect">
                    <a:avLst/>
                  </a:prstGeom>
                  <a:noFill/>
                  <a:ln>
                    <a:noFill/>
                  </a:ln>
                </pic:spPr>
              </pic:pic>
            </a:graphicData>
          </a:graphic>
        </wp:anchor>
      </w:drawing>
    </w:r>
  </w:p>
  <w:p w14:paraId="0CB634A5" w14:textId="1C753263" w:rsidR="007C78FE" w:rsidRDefault="007C78FE">
    <w:pPr>
      <w:pStyle w:val="Header"/>
    </w:pPr>
  </w:p>
  <w:p w14:paraId="450E4B33" w14:textId="77777777" w:rsidR="007C78FE" w:rsidRDefault="007C78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AF7"/>
    <w:rsid w:val="000013A3"/>
    <w:rsid w:val="00003652"/>
    <w:rsid w:val="0000382A"/>
    <w:rsid w:val="0000798F"/>
    <w:rsid w:val="00021837"/>
    <w:rsid w:val="00022BF3"/>
    <w:rsid w:val="00025BD4"/>
    <w:rsid w:val="00027261"/>
    <w:rsid w:val="0003095B"/>
    <w:rsid w:val="00031B96"/>
    <w:rsid w:val="00031F20"/>
    <w:rsid w:val="00032071"/>
    <w:rsid w:val="00033965"/>
    <w:rsid w:val="00034426"/>
    <w:rsid w:val="00040AE8"/>
    <w:rsid w:val="00041B20"/>
    <w:rsid w:val="00042A1B"/>
    <w:rsid w:val="00046772"/>
    <w:rsid w:val="00051859"/>
    <w:rsid w:val="000533E0"/>
    <w:rsid w:val="00057EA6"/>
    <w:rsid w:val="0006179C"/>
    <w:rsid w:val="00070C9E"/>
    <w:rsid w:val="000847FE"/>
    <w:rsid w:val="00091DE0"/>
    <w:rsid w:val="00093FF3"/>
    <w:rsid w:val="00095A98"/>
    <w:rsid w:val="000A0FED"/>
    <w:rsid w:val="000A4639"/>
    <w:rsid w:val="000B5642"/>
    <w:rsid w:val="000C06FE"/>
    <w:rsid w:val="000C0786"/>
    <w:rsid w:val="000C7990"/>
    <w:rsid w:val="000D0D3C"/>
    <w:rsid w:val="000D2A57"/>
    <w:rsid w:val="000D3097"/>
    <w:rsid w:val="000D3E41"/>
    <w:rsid w:val="000E042D"/>
    <w:rsid w:val="000E288A"/>
    <w:rsid w:val="000F0D76"/>
    <w:rsid w:val="000F3762"/>
    <w:rsid w:val="000F4FC5"/>
    <w:rsid w:val="000F5106"/>
    <w:rsid w:val="001029A0"/>
    <w:rsid w:val="00103B45"/>
    <w:rsid w:val="00104DBB"/>
    <w:rsid w:val="001071B7"/>
    <w:rsid w:val="00112616"/>
    <w:rsid w:val="001205E8"/>
    <w:rsid w:val="0012264C"/>
    <w:rsid w:val="00126876"/>
    <w:rsid w:val="00131772"/>
    <w:rsid w:val="001331AD"/>
    <w:rsid w:val="0013589D"/>
    <w:rsid w:val="00137C61"/>
    <w:rsid w:val="00143485"/>
    <w:rsid w:val="00144B7F"/>
    <w:rsid w:val="0015334B"/>
    <w:rsid w:val="00157DD1"/>
    <w:rsid w:val="00161720"/>
    <w:rsid w:val="00162416"/>
    <w:rsid w:val="00170916"/>
    <w:rsid w:val="00171015"/>
    <w:rsid w:val="00181352"/>
    <w:rsid w:val="001A0DF5"/>
    <w:rsid w:val="001A5528"/>
    <w:rsid w:val="001B2061"/>
    <w:rsid w:val="001B6EE9"/>
    <w:rsid w:val="001B7E14"/>
    <w:rsid w:val="001C65E0"/>
    <w:rsid w:val="001D3A00"/>
    <w:rsid w:val="001D3B28"/>
    <w:rsid w:val="001D6AEF"/>
    <w:rsid w:val="001E0130"/>
    <w:rsid w:val="001E57C6"/>
    <w:rsid w:val="00200D70"/>
    <w:rsid w:val="002116CF"/>
    <w:rsid w:val="00214B20"/>
    <w:rsid w:val="00221376"/>
    <w:rsid w:val="00221595"/>
    <w:rsid w:val="00224321"/>
    <w:rsid w:val="00234C33"/>
    <w:rsid w:val="00235794"/>
    <w:rsid w:val="00237A3C"/>
    <w:rsid w:val="00256127"/>
    <w:rsid w:val="0025641A"/>
    <w:rsid w:val="00257D3F"/>
    <w:rsid w:val="00264D69"/>
    <w:rsid w:val="0027402E"/>
    <w:rsid w:val="0027756B"/>
    <w:rsid w:val="00282F67"/>
    <w:rsid w:val="00283E3C"/>
    <w:rsid w:val="002857F0"/>
    <w:rsid w:val="00286061"/>
    <w:rsid w:val="0029047C"/>
    <w:rsid w:val="00295433"/>
    <w:rsid w:val="00297163"/>
    <w:rsid w:val="002A10E7"/>
    <w:rsid w:val="002A1269"/>
    <w:rsid w:val="002A1C1E"/>
    <w:rsid w:val="002A2DC8"/>
    <w:rsid w:val="002B0C12"/>
    <w:rsid w:val="002C0464"/>
    <w:rsid w:val="002C07F5"/>
    <w:rsid w:val="002C6525"/>
    <w:rsid w:val="002C654A"/>
    <w:rsid w:val="002D452E"/>
    <w:rsid w:val="002D5F23"/>
    <w:rsid w:val="002F0F77"/>
    <w:rsid w:val="002F1384"/>
    <w:rsid w:val="0030458B"/>
    <w:rsid w:val="003079C2"/>
    <w:rsid w:val="00307AF2"/>
    <w:rsid w:val="00316F17"/>
    <w:rsid w:val="00322690"/>
    <w:rsid w:val="00324D9C"/>
    <w:rsid w:val="00327D20"/>
    <w:rsid w:val="003328A9"/>
    <w:rsid w:val="003348FF"/>
    <w:rsid w:val="003353F6"/>
    <w:rsid w:val="00337C26"/>
    <w:rsid w:val="00340E8E"/>
    <w:rsid w:val="00341DDC"/>
    <w:rsid w:val="003439F8"/>
    <w:rsid w:val="00345146"/>
    <w:rsid w:val="003472AE"/>
    <w:rsid w:val="00350BA5"/>
    <w:rsid w:val="0035785E"/>
    <w:rsid w:val="003653B1"/>
    <w:rsid w:val="003662A8"/>
    <w:rsid w:val="00376EBA"/>
    <w:rsid w:val="00377DFC"/>
    <w:rsid w:val="00387404"/>
    <w:rsid w:val="00390CF5"/>
    <w:rsid w:val="003931BE"/>
    <w:rsid w:val="003B3325"/>
    <w:rsid w:val="003C0636"/>
    <w:rsid w:val="003C0A9F"/>
    <w:rsid w:val="003C17BB"/>
    <w:rsid w:val="003D14B9"/>
    <w:rsid w:val="003D6848"/>
    <w:rsid w:val="003D70EC"/>
    <w:rsid w:val="003E1FC8"/>
    <w:rsid w:val="003E3ED9"/>
    <w:rsid w:val="003E6A88"/>
    <w:rsid w:val="003F169A"/>
    <w:rsid w:val="003F3E0D"/>
    <w:rsid w:val="00400753"/>
    <w:rsid w:val="0040248C"/>
    <w:rsid w:val="00403035"/>
    <w:rsid w:val="00403512"/>
    <w:rsid w:val="00403AB9"/>
    <w:rsid w:val="00404B0D"/>
    <w:rsid w:val="00406438"/>
    <w:rsid w:val="00410285"/>
    <w:rsid w:val="0041298A"/>
    <w:rsid w:val="00412F72"/>
    <w:rsid w:val="004152B0"/>
    <w:rsid w:val="004158AB"/>
    <w:rsid w:val="004231DF"/>
    <w:rsid w:val="00423962"/>
    <w:rsid w:val="00424330"/>
    <w:rsid w:val="00436B41"/>
    <w:rsid w:val="00441893"/>
    <w:rsid w:val="004438FE"/>
    <w:rsid w:val="00450359"/>
    <w:rsid w:val="0045112B"/>
    <w:rsid w:val="00453C4A"/>
    <w:rsid w:val="00453FCE"/>
    <w:rsid w:val="00455F80"/>
    <w:rsid w:val="00462BA7"/>
    <w:rsid w:val="004647F2"/>
    <w:rsid w:val="00465B16"/>
    <w:rsid w:val="004660D8"/>
    <w:rsid w:val="0047674A"/>
    <w:rsid w:val="00480144"/>
    <w:rsid w:val="00481423"/>
    <w:rsid w:val="00483023"/>
    <w:rsid w:val="0048479B"/>
    <w:rsid w:val="00484AAC"/>
    <w:rsid w:val="00487E40"/>
    <w:rsid w:val="004B2074"/>
    <w:rsid w:val="004B25AF"/>
    <w:rsid w:val="004B7D60"/>
    <w:rsid w:val="004C32E0"/>
    <w:rsid w:val="004C66AB"/>
    <w:rsid w:val="004C7756"/>
    <w:rsid w:val="004D366B"/>
    <w:rsid w:val="004D497B"/>
    <w:rsid w:val="004D517B"/>
    <w:rsid w:val="004F0C08"/>
    <w:rsid w:val="004F3819"/>
    <w:rsid w:val="004F39A9"/>
    <w:rsid w:val="00506CDA"/>
    <w:rsid w:val="00512411"/>
    <w:rsid w:val="00520799"/>
    <w:rsid w:val="00521237"/>
    <w:rsid w:val="00527970"/>
    <w:rsid w:val="0053256E"/>
    <w:rsid w:val="00546CA6"/>
    <w:rsid w:val="0054769C"/>
    <w:rsid w:val="00547718"/>
    <w:rsid w:val="00555CA2"/>
    <w:rsid w:val="00557A49"/>
    <w:rsid w:val="00557CC8"/>
    <w:rsid w:val="00557E48"/>
    <w:rsid w:val="00565C2F"/>
    <w:rsid w:val="00572082"/>
    <w:rsid w:val="0058067D"/>
    <w:rsid w:val="005842C4"/>
    <w:rsid w:val="00590ADB"/>
    <w:rsid w:val="005914DF"/>
    <w:rsid w:val="00591549"/>
    <w:rsid w:val="005919C4"/>
    <w:rsid w:val="00594567"/>
    <w:rsid w:val="005A30D1"/>
    <w:rsid w:val="005A48A2"/>
    <w:rsid w:val="005A4CDE"/>
    <w:rsid w:val="005A6817"/>
    <w:rsid w:val="005B0056"/>
    <w:rsid w:val="005B0300"/>
    <w:rsid w:val="005B0F55"/>
    <w:rsid w:val="005B38AA"/>
    <w:rsid w:val="005C0437"/>
    <w:rsid w:val="005C690E"/>
    <w:rsid w:val="005C715B"/>
    <w:rsid w:val="005D0EAA"/>
    <w:rsid w:val="005D10B6"/>
    <w:rsid w:val="005E143A"/>
    <w:rsid w:val="005E4497"/>
    <w:rsid w:val="005E69F5"/>
    <w:rsid w:val="005F56B1"/>
    <w:rsid w:val="005F6CC7"/>
    <w:rsid w:val="005F757B"/>
    <w:rsid w:val="006039B0"/>
    <w:rsid w:val="00605F87"/>
    <w:rsid w:val="00617A1C"/>
    <w:rsid w:val="00617E51"/>
    <w:rsid w:val="00622A7B"/>
    <w:rsid w:val="00633287"/>
    <w:rsid w:val="006351AC"/>
    <w:rsid w:val="00641BB5"/>
    <w:rsid w:val="00646632"/>
    <w:rsid w:val="00647776"/>
    <w:rsid w:val="00651447"/>
    <w:rsid w:val="00656036"/>
    <w:rsid w:val="00661B1B"/>
    <w:rsid w:val="00671552"/>
    <w:rsid w:val="0068090F"/>
    <w:rsid w:val="00682EDE"/>
    <w:rsid w:val="00684421"/>
    <w:rsid w:val="00687A0E"/>
    <w:rsid w:val="00695420"/>
    <w:rsid w:val="00695BC6"/>
    <w:rsid w:val="00696F47"/>
    <w:rsid w:val="006A5358"/>
    <w:rsid w:val="006C3376"/>
    <w:rsid w:val="006D07C2"/>
    <w:rsid w:val="006D4C3D"/>
    <w:rsid w:val="006D69D5"/>
    <w:rsid w:val="006E1F10"/>
    <w:rsid w:val="006E3B65"/>
    <w:rsid w:val="006E4555"/>
    <w:rsid w:val="006E75CA"/>
    <w:rsid w:val="006E7774"/>
    <w:rsid w:val="006F5138"/>
    <w:rsid w:val="006F5FA0"/>
    <w:rsid w:val="00717F4C"/>
    <w:rsid w:val="007270BA"/>
    <w:rsid w:val="00733850"/>
    <w:rsid w:val="007377BD"/>
    <w:rsid w:val="00751092"/>
    <w:rsid w:val="00751698"/>
    <w:rsid w:val="0075189F"/>
    <w:rsid w:val="00753BB7"/>
    <w:rsid w:val="0075427D"/>
    <w:rsid w:val="007602E9"/>
    <w:rsid w:val="00761438"/>
    <w:rsid w:val="00763BDB"/>
    <w:rsid w:val="00763E1B"/>
    <w:rsid w:val="0077408B"/>
    <w:rsid w:val="007772E1"/>
    <w:rsid w:val="007865F0"/>
    <w:rsid w:val="007945D6"/>
    <w:rsid w:val="00796E1D"/>
    <w:rsid w:val="007A3FC6"/>
    <w:rsid w:val="007B39C1"/>
    <w:rsid w:val="007B4581"/>
    <w:rsid w:val="007B58F9"/>
    <w:rsid w:val="007C56F9"/>
    <w:rsid w:val="007C78FE"/>
    <w:rsid w:val="007F1129"/>
    <w:rsid w:val="00801A6E"/>
    <w:rsid w:val="008037BF"/>
    <w:rsid w:val="008175EC"/>
    <w:rsid w:val="008219D6"/>
    <w:rsid w:val="008263F2"/>
    <w:rsid w:val="008278BE"/>
    <w:rsid w:val="0083007F"/>
    <w:rsid w:val="00836BDC"/>
    <w:rsid w:val="008406D3"/>
    <w:rsid w:val="00841331"/>
    <w:rsid w:val="00847685"/>
    <w:rsid w:val="008566C2"/>
    <w:rsid w:val="00857716"/>
    <w:rsid w:val="00863F28"/>
    <w:rsid w:val="00864951"/>
    <w:rsid w:val="008712EA"/>
    <w:rsid w:val="008715C8"/>
    <w:rsid w:val="00872CDA"/>
    <w:rsid w:val="00881B76"/>
    <w:rsid w:val="00883DFF"/>
    <w:rsid w:val="0088773F"/>
    <w:rsid w:val="00891B2D"/>
    <w:rsid w:val="00895546"/>
    <w:rsid w:val="008A0573"/>
    <w:rsid w:val="008A1996"/>
    <w:rsid w:val="008A2822"/>
    <w:rsid w:val="008A39B5"/>
    <w:rsid w:val="008A460D"/>
    <w:rsid w:val="008A7920"/>
    <w:rsid w:val="008B60BC"/>
    <w:rsid w:val="008C2224"/>
    <w:rsid w:val="008C244C"/>
    <w:rsid w:val="008C54EA"/>
    <w:rsid w:val="008D195A"/>
    <w:rsid w:val="008D1DF0"/>
    <w:rsid w:val="008D5D15"/>
    <w:rsid w:val="008E57EE"/>
    <w:rsid w:val="008F3EE4"/>
    <w:rsid w:val="008F53A5"/>
    <w:rsid w:val="008F5F45"/>
    <w:rsid w:val="008F7837"/>
    <w:rsid w:val="009041FF"/>
    <w:rsid w:val="00906349"/>
    <w:rsid w:val="00910678"/>
    <w:rsid w:val="00916F70"/>
    <w:rsid w:val="009469B0"/>
    <w:rsid w:val="00950993"/>
    <w:rsid w:val="0095482C"/>
    <w:rsid w:val="00960BB9"/>
    <w:rsid w:val="00963E56"/>
    <w:rsid w:val="00964DE9"/>
    <w:rsid w:val="0097040E"/>
    <w:rsid w:val="009722A2"/>
    <w:rsid w:val="00972764"/>
    <w:rsid w:val="00972793"/>
    <w:rsid w:val="00973D97"/>
    <w:rsid w:val="00975B7D"/>
    <w:rsid w:val="00983FD8"/>
    <w:rsid w:val="00984BEE"/>
    <w:rsid w:val="0098640E"/>
    <w:rsid w:val="00993AE3"/>
    <w:rsid w:val="00994B4F"/>
    <w:rsid w:val="0099708E"/>
    <w:rsid w:val="009B0C91"/>
    <w:rsid w:val="009B4AE8"/>
    <w:rsid w:val="009B5D19"/>
    <w:rsid w:val="009C0771"/>
    <w:rsid w:val="009C520F"/>
    <w:rsid w:val="009C7EB9"/>
    <w:rsid w:val="009D3EE4"/>
    <w:rsid w:val="009E2E5A"/>
    <w:rsid w:val="009E3CC3"/>
    <w:rsid w:val="009F12BD"/>
    <w:rsid w:val="00A11F47"/>
    <w:rsid w:val="00A122A4"/>
    <w:rsid w:val="00A171D4"/>
    <w:rsid w:val="00A21071"/>
    <w:rsid w:val="00A24B52"/>
    <w:rsid w:val="00A3020B"/>
    <w:rsid w:val="00A35FB9"/>
    <w:rsid w:val="00A42D27"/>
    <w:rsid w:val="00A44EEC"/>
    <w:rsid w:val="00A47748"/>
    <w:rsid w:val="00A5342F"/>
    <w:rsid w:val="00A536AA"/>
    <w:rsid w:val="00A61E87"/>
    <w:rsid w:val="00A733C0"/>
    <w:rsid w:val="00A935B3"/>
    <w:rsid w:val="00AA11DB"/>
    <w:rsid w:val="00AA28A7"/>
    <w:rsid w:val="00AB233A"/>
    <w:rsid w:val="00AB4469"/>
    <w:rsid w:val="00AB630B"/>
    <w:rsid w:val="00AC34E8"/>
    <w:rsid w:val="00AC7029"/>
    <w:rsid w:val="00AD0FE3"/>
    <w:rsid w:val="00AD501F"/>
    <w:rsid w:val="00AD52FA"/>
    <w:rsid w:val="00AD74F1"/>
    <w:rsid w:val="00AE1616"/>
    <w:rsid w:val="00AE2CEB"/>
    <w:rsid w:val="00AE3928"/>
    <w:rsid w:val="00B011DC"/>
    <w:rsid w:val="00B015D2"/>
    <w:rsid w:val="00B053B8"/>
    <w:rsid w:val="00B13EA4"/>
    <w:rsid w:val="00B14742"/>
    <w:rsid w:val="00B2160E"/>
    <w:rsid w:val="00B21E21"/>
    <w:rsid w:val="00B27FA1"/>
    <w:rsid w:val="00B31BA0"/>
    <w:rsid w:val="00B367B9"/>
    <w:rsid w:val="00B369BD"/>
    <w:rsid w:val="00B44512"/>
    <w:rsid w:val="00B5015A"/>
    <w:rsid w:val="00B50425"/>
    <w:rsid w:val="00B51D5C"/>
    <w:rsid w:val="00B53C19"/>
    <w:rsid w:val="00B55BD1"/>
    <w:rsid w:val="00B60EA6"/>
    <w:rsid w:val="00B612FB"/>
    <w:rsid w:val="00B61B45"/>
    <w:rsid w:val="00B703DA"/>
    <w:rsid w:val="00B7109E"/>
    <w:rsid w:val="00B71D64"/>
    <w:rsid w:val="00B90A51"/>
    <w:rsid w:val="00B917CF"/>
    <w:rsid w:val="00BA305B"/>
    <w:rsid w:val="00BB52D9"/>
    <w:rsid w:val="00BB784E"/>
    <w:rsid w:val="00BC0D0B"/>
    <w:rsid w:val="00BC3AFA"/>
    <w:rsid w:val="00BC6C58"/>
    <w:rsid w:val="00BD2DCE"/>
    <w:rsid w:val="00BE083C"/>
    <w:rsid w:val="00BE1320"/>
    <w:rsid w:val="00BE1606"/>
    <w:rsid w:val="00BE66D5"/>
    <w:rsid w:val="00BF1FAC"/>
    <w:rsid w:val="00BF335C"/>
    <w:rsid w:val="00BF3F0D"/>
    <w:rsid w:val="00C02116"/>
    <w:rsid w:val="00C03176"/>
    <w:rsid w:val="00C108D5"/>
    <w:rsid w:val="00C11A5C"/>
    <w:rsid w:val="00C127B8"/>
    <w:rsid w:val="00C12FDC"/>
    <w:rsid w:val="00C2008E"/>
    <w:rsid w:val="00C2125D"/>
    <w:rsid w:val="00C26506"/>
    <w:rsid w:val="00C26DA6"/>
    <w:rsid w:val="00C32964"/>
    <w:rsid w:val="00C358DA"/>
    <w:rsid w:val="00C40833"/>
    <w:rsid w:val="00C52595"/>
    <w:rsid w:val="00C52AB9"/>
    <w:rsid w:val="00C53CC6"/>
    <w:rsid w:val="00C548D4"/>
    <w:rsid w:val="00C62AF7"/>
    <w:rsid w:val="00C639BD"/>
    <w:rsid w:val="00C65CB9"/>
    <w:rsid w:val="00C7256F"/>
    <w:rsid w:val="00C80E9A"/>
    <w:rsid w:val="00C81536"/>
    <w:rsid w:val="00C83C7A"/>
    <w:rsid w:val="00C8629C"/>
    <w:rsid w:val="00C91615"/>
    <w:rsid w:val="00C93D4F"/>
    <w:rsid w:val="00C94642"/>
    <w:rsid w:val="00C94A01"/>
    <w:rsid w:val="00C956C5"/>
    <w:rsid w:val="00C960D8"/>
    <w:rsid w:val="00C9669C"/>
    <w:rsid w:val="00CA6335"/>
    <w:rsid w:val="00CB2245"/>
    <w:rsid w:val="00CB34A1"/>
    <w:rsid w:val="00CC1D83"/>
    <w:rsid w:val="00CC37A5"/>
    <w:rsid w:val="00CC3C43"/>
    <w:rsid w:val="00CD4857"/>
    <w:rsid w:val="00CE1DC8"/>
    <w:rsid w:val="00CF25BB"/>
    <w:rsid w:val="00CF3FEB"/>
    <w:rsid w:val="00CF7451"/>
    <w:rsid w:val="00D01603"/>
    <w:rsid w:val="00D041CF"/>
    <w:rsid w:val="00D05A63"/>
    <w:rsid w:val="00D20A66"/>
    <w:rsid w:val="00D34E15"/>
    <w:rsid w:val="00D356F9"/>
    <w:rsid w:val="00D36B9D"/>
    <w:rsid w:val="00D4409B"/>
    <w:rsid w:val="00D47143"/>
    <w:rsid w:val="00D801BF"/>
    <w:rsid w:val="00D81561"/>
    <w:rsid w:val="00D83991"/>
    <w:rsid w:val="00D90B0E"/>
    <w:rsid w:val="00D917ED"/>
    <w:rsid w:val="00D926BF"/>
    <w:rsid w:val="00DA1A05"/>
    <w:rsid w:val="00DA1B67"/>
    <w:rsid w:val="00DA6558"/>
    <w:rsid w:val="00DA7FCA"/>
    <w:rsid w:val="00DB37AC"/>
    <w:rsid w:val="00DC23E2"/>
    <w:rsid w:val="00DC7AD1"/>
    <w:rsid w:val="00DD329D"/>
    <w:rsid w:val="00DD6214"/>
    <w:rsid w:val="00DE1361"/>
    <w:rsid w:val="00DE2947"/>
    <w:rsid w:val="00DF0ADC"/>
    <w:rsid w:val="00E05950"/>
    <w:rsid w:val="00E06465"/>
    <w:rsid w:val="00E22A84"/>
    <w:rsid w:val="00E23A71"/>
    <w:rsid w:val="00E2579F"/>
    <w:rsid w:val="00E25C63"/>
    <w:rsid w:val="00E349CD"/>
    <w:rsid w:val="00E40437"/>
    <w:rsid w:val="00E40873"/>
    <w:rsid w:val="00E4094C"/>
    <w:rsid w:val="00E43F9F"/>
    <w:rsid w:val="00E440C8"/>
    <w:rsid w:val="00E5089A"/>
    <w:rsid w:val="00E55374"/>
    <w:rsid w:val="00E60518"/>
    <w:rsid w:val="00E6281A"/>
    <w:rsid w:val="00E63E67"/>
    <w:rsid w:val="00E8391D"/>
    <w:rsid w:val="00E91AD3"/>
    <w:rsid w:val="00E9257F"/>
    <w:rsid w:val="00EB325A"/>
    <w:rsid w:val="00EB457E"/>
    <w:rsid w:val="00EC201D"/>
    <w:rsid w:val="00ED1C26"/>
    <w:rsid w:val="00ED1F40"/>
    <w:rsid w:val="00EE2EB4"/>
    <w:rsid w:val="00EE781D"/>
    <w:rsid w:val="00EF1667"/>
    <w:rsid w:val="00EF1C8F"/>
    <w:rsid w:val="00EF5429"/>
    <w:rsid w:val="00F054F6"/>
    <w:rsid w:val="00F12715"/>
    <w:rsid w:val="00F216AB"/>
    <w:rsid w:val="00F21898"/>
    <w:rsid w:val="00F218D0"/>
    <w:rsid w:val="00F2284B"/>
    <w:rsid w:val="00F3262F"/>
    <w:rsid w:val="00F35E62"/>
    <w:rsid w:val="00F36A3B"/>
    <w:rsid w:val="00F418D6"/>
    <w:rsid w:val="00F46691"/>
    <w:rsid w:val="00F5181F"/>
    <w:rsid w:val="00F54B26"/>
    <w:rsid w:val="00F555A0"/>
    <w:rsid w:val="00F60148"/>
    <w:rsid w:val="00F6198B"/>
    <w:rsid w:val="00F67B38"/>
    <w:rsid w:val="00F7071D"/>
    <w:rsid w:val="00F72968"/>
    <w:rsid w:val="00F76D3D"/>
    <w:rsid w:val="00F872FD"/>
    <w:rsid w:val="00F92081"/>
    <w:rsid w:val="00F92791"/>
    <w:rsid w:val="00F96633"/>
    <w:rsid w:val="00F9757A"/>
    <w:rsid w:val="00FA02C6"/>
    <w:rsid w:val="00FA6354"/>
    <w:rsid w:val="00FB285C"/>
    <w:rsid w:val="00FB2C50"/>
    <w:rsid w:val="00FB2DF8"/>
    <w:rsid w:val="00FB504A"/>
    <w:rsid w:val="00FD18B7"/>
    <w:rsid w:val="00FD3713"/>
    <w:rsid w:val="00FE0E34"/>
    <w:rsid w:val="00FE56D4"/>
    <w:rsid w:val="00FF424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548FB"/>
  <w15:docId w15:val="{EC07F9A6-80F7-44B0-8C57-1B6E260A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224"/>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rPr>
      <w:lang w:val="lv-LV"/>
    </w:r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rPr>
      <w:lang w:val="lv-LV"/>
    </w:r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CommentReference">
    <w:name w:val="annotation reference"/>
    <w:basedOn w:val="DefaultParagraphFont"/>
    <w:uiPriority w:val="99"/>
    <w:semiHidden/>
    <w:unhideWhenUsed/>
    <w:rsid w:val="00221376"/>
    <w:rPr>
      <w:sz w:val="16"/>
      <w:szCs w:val="16"/>
    </w:rPr>
  </w:style>
  <w:style w:type="paragraph" w:styleId="CommentText">
    <w:name w:val="annotation text"/>
    <w:basedOn w:val="Normal"/>
    <w:link w:val="CommentTextChar"/>
    <w:uiPriority w:val="99"/>
    <w:unhideWhenUsed/>
    <w:rsid w:val="00221376"/>
    <w:pPr>
      <w:spacing w:after="200" w:line="240" w:lineRule="auto"/>
    </w:pPr>
    <w:rPr>
      <w:sz w:val="20"/>
      <w:szCs w:val="20"/>
      <w:lang w:val="lv-LV"/>
    </w:rPr>
  </w:style>
  <w:style w:type="character" w:customStyle="1" w:styleId="CommentTextChar">
    <w:name w:val="Comment Text Char"/>
    <w:basedOn w:val="DefaultParagraphFont"/>
    <w:link w:val="CommentText"/>
    <w:uiPriority w:val="99"/>
    <w:rsid w:val="00221376"/>
    <w:rPr>
      <w:sz w:val="20"/>
      <w:szCs w:val="20"/>
    </w:rPr>
  </w:style>
  <w:style w:type="paragraph" w:styleId="CommentSubject">
    <w:name w:val="annotation subject"/>
    <w:basedOn w:val="CommentText"/>
    <w:next w:val="CommentText"/>
    <w:link w:val="CommentSubjectChar"/>
    <w:uiPriority w:val="99"/>
    <w:semiHidden/>
    <w:unhideWhenUsed/>
    <w:rsid w:val="00221376"/>
    <w:rPr>
      <w:b/>
      <w:bCs/>
    </w:rPr>
  </w:style>
  <w:style w:type="character" w:customStyle="1" w:styleId="CommentSubjectChar">
    <w:name w:val="Comment Subject Char"/>
    <w:basedOn w:val="CommentTextChar"/>
    <w:link w:val="CommentSubject"/>
    <w:uiPriority w:val="99"/>
    <w:semiHidden/>
    <w:rsid w:val="00221376"/>
    <w:rPr>
      <w:b/>
      <w:bCs/>
      <w:sz w:val="20"/>
      <w:szCs w:val="20"/>
    </w:rPr>
  </w:style>
  <w:style w:type="character" w:styleId="Hyperlink">
    <w:name w:val="Hyperlink"/>
    <w:basedOn w:val="DefaultParagraphFont"/>
    <w:uiPriority w:val="99"/>
    <w:unhideWhenUsed/>
    <w:rsid w:val="00AE3928"/>
    <w:rPr>
      <w:color w:val="0000FF" w:themeColor="hyperlink"/>
      <w:u w:val="single"/>
    </w:rPr>
  </w:style>
  <w:style w:type="paragraph" w:customStyle="1" w:styleId="tv2131">
    <w:name w:val="tv2131"/>
    <w:basedOn w:val="Normal"/>
    <w:rsid w:val="0053256E"/>
    <w:pPr>
      <w:spacing w:before="240" w:after="0" w:line="360" w:lineRule="auto"/>
      <w:ind w:firstLine="300"/>
      <w:jc w:val="both"/>
    </w:pPr>
    <w:rPr>
      <w:rFonts w:ascii="Verdana" w:eastAsia="Times New Roman" w:hAnsi="Verdana" w:cs="Times New Roman"/>
      <w:sz w:val="18"/>
      <w:szCs w:val="18"/>
      <w:lang w:val="lv-LV" w:eastAsia="lv-LV"/>
    </w:rPr>
  </w:style>
  <w:style w:type="paragraph" w:styleId="Revision">
    <w:name w:val="Revision"/>
    <w:hidden/>
    <w:uiPriority w:val="99"/>
    <w:semiHidden/>
    <w:rsid w:val="00895546"/>
    <w:pPr>
      <w:spacing w:after="0" w:line="240" w:lineRule="auto"/>
    </w:pPr>
    <w:rPr>
      <w:lang w:val="en-GB"/>
    </w:rPr>
  </w:style>
  <w:style w:type="paragraph" w:customStyle="1" w:styleId="tv2132">
    <w:name w:val="tv2132"/>
    <w:basedOn w:val="Normal"/>
    <w:rsid w:val="008A0573"/>
    <w:pPr>
      <w:spacing w:after="0" w:line="360" w:lineRule="auto"/>
      <w:ind w:firstLine="300"/>
    </w:pPr>
    <w:rPr>
      <w:rFonts w:ascii="Times New Roman" w:eastAsia="Times New Roman" w:hAnsi="Times New Roman" w:cs="Times New Roman"/>
      <w:color w:val="414142"/>
      <w:sz w:val="20"/>
      <w:szCs w:val="20"/>
      <w:lang w:val="lv-LV" w:eastAsia="lv-LV"/>
    </w:rPr>
  </w:style>
  <w:style w:type="character" w:styleId="Strong">
    <w:name w:val="Strong"/>
    <w:basedOn w:val="DefaultParagraphFont"/>
    <w:uiPriority w:val="22"/>
    <w:qFormat/>
    <w:rsid w:val="00465B16"/>
    <w:rPr>
      <w:b/>
      <w:bCs/>
    </w:rPr>
  </w:style>
  <w:style w:type="character" w:customStyle="1" w:styleId="apple-converted-space">
    <w:name w:val="apple-converted-space"/>
    <w:basedOn w:val="DefaultParagraphFont"/>
    <w:rsid w:val="00465B16"/>
  </w:style>
  <w:style w:type="character" w:styleId="UnresolvedMention">
    <w:name w:val="Unresolved Mention"/>
    <w:basedOn w:val="DefaultParagraphFont"/>
    <w:uiPriority w:val="99"/>
    <w:semiHidden/>
    <w:unhideWhenUsed/>
    <w:rsid w:val="00027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4580">
      <w:bodyDiv w:val="1"/>
      <w:marLeft w:val="0"/>
      <w:marRight w:val="0"/>
      <w:marTop w:val="0"/>
      <w:marBottom w:val="0"/>
      <w:divBdr>
        <w:top w:val="none" w:sz="0" w:space="0" w:color="auto"/>
        <w:left w:val="none" w:sz="0" w:space="0" w:color="auto"/>
        <w:bottom w:val="none" w:sz="0" w:space="0" w:color="auto"/>
        <w:right w:val="none" w:sz="0" w:space="0" w:color="auto"/>
      </w:divBdr>
      <w:divsChild>
        <w:div w:id="434785045">
          <w:marLeft w:val="0"/>
          <w:marRight w:val="0"/>
          <w:marTop w:val="0"/>
          <w:marBottom w:val="0"/>
          <w:divBdr>
            <w:top w:val="none" w:sz="0" w:space="0" w:color="auto"/>
            <w:left w:val="none" w:sz="0" w:space="0" w:color="auto"/>
            <w:bottom w:val="none" w:sz="0" w:space="0" w:color="auto"/>
            <w:right w:val="none" w:sz="0" w:space="0" w:color="auto"/>
          </w:divBdr>
          <w:divsChild>
            <w:div w:id="596715894">
              <w:marLeft w:val="0"/>
              <w:marRight w:val="0"/>
              <w:marTop w:val="0"/>
              <w:marBottom w:val="0"/>
              <w:divBdr>
                <w:top w:val="none" w:sz="0" w:space="0" w:color="auto"/>
                <w:left w:val="none" w:sz="0" w:space="0" w:color="auto"/>
                <w:bottom w:val="none" w:sz="0" w:space="0" w:color="auto"/>
                <w:right w:val="none" w:sz="0" w:space="0" w:color="auto"/>
              </w:divBdr>
              <w:divsChild>
                <w:div w:id="1966427189">
                  <w:marLeft w:val="0"/>
                  <w:marRight w:val="0"/>
                  <w:marTop w:val="0"/>
                  <w:marBottom w:val="0"/>
                  <w:divBdr>
                    <w:top w:val="none" w:sz="0" w:space="0" w:color="auto"/>
                    <w:left w:val="none" w:sz="0" w:space="0" w:color="auto"/>
                    <w:bottom w:val="none" w:sz="0" w:space="0" w:color="auto"/>
                    <w:right w:val="none" w:sz="0" w:space="0" w:color="auto"/>
                  </w:divBdr>
                  <w:divsChild>
                    <w:div w:id="1953125735">
                      <w:marLeft w:val="0"/>
                      <w:marRight w:val="0"/>
                      <w:marTop w:val="0"/>
                      <w:marBottom w:val="0"/>
                      <w:divBdr>
                        <w:top w:val="none" w:sz="0" w:space="0" w:color="auto"/>
                        <w:left w:val="none" w:sz="0" w:space="0" w:color="auto"/>
                        <w:bottom w:val="none" w:sz="0" w:space="0" w:color="auto"/>
                        <w:right w:val="none" w:sz="0" w:space="0" w:color="auto"/>
                      </w:divBdr>
                      <w:divsChild>
                        <w:div w:id="1409308418">
                          <w:marLeft w:val="0"/>
                          <w:marRight w:val="0"/>
                          <w:marTop w:val="0"/>
                          <w:marBottom w:val="0"/>
                          <w:divBdr>
                            <w:top w:val="none" w:sz="0" w:space="0" w:color="auto"/>
                            <w:left w:val="none" w:sz="0" w:space="0" w:color="auto"/>
                            <w:bottom w:val="none" w:sz="0" w:space="0" w:color="auto"/>
                            <w:right w:val="none" w:sz="0" w:space="0" w:color="auto"/>
                          </w:divBdr>
                          <w:divsChild>
                            <w:div w:id="15415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28613">
      <w:bodyDiv w:val="1"/>
      <w:marLeft w:val="0"/>
      <w:marRight w:val="0"/>
      <w:marTop w:val="0"/>
      <w:marBottom w:val="0"/>
      <w:divBdr>
        <w:top w:val="none" w:sz="0" w:space="0" w:color="auto"/>
        <w:left w:val="none" w:sz="0" w:space="0" w:color="auto"/>
        <w:bottom w:val="none" w:sz="0" w:space="0" w:color="auto"/>
        <w:right w:val="none" w:sz="0" w:space="0" w:color="auto"/>
      </w:divBdr>
    </w:div>
    <w:div w:id="295377899">
      <w:bodyDiv w:val="1"/>
      <w:marLeft w:val="0"/>
      <w:marRight w:val="0"/>
      <w:marTop w:val="0"/>
      <w:marBottom w:val="0"/>
      <w:divBdr>
        <w:top w:val="none" w:sz="0" w:space="0" w:color="auto"/>
        <w:left w:val="none" w:sz="0" w:space="0" w:color="auto"/>
        <w:bottom w:val="none" w:sz="0" w:space="0" w:color="auto"/>
        <w:right w:val="none" w:sz="0" w:space="0" w:color="auto"/>
      </w:divBdr>
    </w:div>
    <w:div w:id="372778769">
      <w:bodyDiv w:val="1"/>
      <w:marLeft w:val="0"/>
      <w:marRight w:val="0"/>
      <w:marTop w:val="0"/>
      <w:marBottom w:val="0"/>
      <w:divBdr>
        <w:top w:val="none" w:sz="0" w:space="0" w:color="auto"/>
        <w:left w:val="none" w:sz="0" w:space="0" w:color="auto"/>
        <w:bottom w:val="none" w:sz="0" w:space="0" w:color="auto"/>
        <w:right w:val="none" w:sz="0" w:space="0" w:color="auto"/>
      </w:divBdr>
    </w:div>
    <w:div w:id="421414852">
      <w:bodyDiv w:val="1"/>
      <w:marLeft w:val="0"/>
      <w:marRight w:val="0"/>
      <w:marTop w:val="0"/>
      <w:marBottom w:val="0"/>
      <w:divBdr>
        <w:top w:val="none" w:sz="0" w:space="0" w:color="auto"/>
        <w:left w:val="none" w:sz="0" w:space="0" w:color="auto"/>
        <w:bottom w:val="none" w:sz="0" w:space="0" w:color="auto"/>
        <w:right w:val="none" w:sz="0" w:space="0" w:color="auto"/>
      </w:divBdr>
    </w:div>
    <w:div w:id="510295401">
      <w:bodyDiv w:val="1"/>
      <w:marLeft w:val="0"/>
      <w:marRight w:val="0"/>
      <w:marTop w:val="0"/>
      <w:marBottom w:val="0"/>
      <w:divBdr>
        <w:top w:val="none" w:sz="0" w:space="0" w:color="auto"/>
        <w:left w:val="none" w:sz="0" w:space="0" w:color="auto"/>
        <w:bottom w:val="none" w:sz="0" w:space="0" w:color="auto"/>
        <w:right w:val="none" w:sz="0" w:space="0" w:color="auto"/>
      </w:divBdr>
    </w:div>
    <w:div w:id="518204633">
      <w:bodyDiv w:val="1"/>
      <w:marLeft w:val="0"/>
      <w:marRight w:val="0"/>
      <w:marTop w:val="0"/>
      <w:marBottom w:val="0"/>
      <w:divBdr>
        <w:top w:val="none" w:sz="0" w:space="0" w:color="auto"/>
        <w:left w:val="none" w:sz="0" w:space="0" w:color="auto"/>
        <w:bottom w:val="none" w:sz="0" w:space="0" w:color="auto"/>
        <w:right w:val="none" w:sz="0" w:space="0" w:color="auto"/>
      </w:divBdr>
    </w:div>
    <w:div w:id="701907711">
      <w:bodyDiv w:val="1"/>
      <w:marLeft w:val="0"/>
      <w:marRight w:val="0"/>
      <w:marTop w:val="0"/>
      <w:marBottom w:val="0"/>
      <w:divBdr>
        <w:top w:val="none" w:sz="0" w:space="0" w:color="auto"/>
        <w:left w:val="none" w:sz="0" w:space="0" w:color="auto"/>
        <w:bottom w:val="none" w:sz="0" w:space="0" w:color="auto"/>
        <w:right w:val="none" w:sz="0" w:space="0" w:color="auto"/>
      </w:divBdr>
    </w:div>
    <w:div w:id="805857473">
      <w:bodyDiv w:val="1"/>
      <w:marLeft w:val="0"/>
      <w:marRight w:val="0"/>
      <w:marTop w:val="0"/>
      <w:marBottom w:val="0"/>
      <w:divBdr>
        <w:top w:val="none" w:sz="0" w:space="0" w:color="auto"/>
        <w:left w:val="none" w:sz="0" w:space="0" w:color="auto"/>
        <w:bottom w:val="none" w:sz="0" w:space="0" w:color="auto"/>
        <w:right w:val="none" w:sz="0" w:space="0" w:color="auto"/>
      </w:divBdr>
    </w:div>
    <w:div w:id="1516265260">
      <w:bodyDiv w:val="1"/>
      <w:marLeft w:val="0"/>
      <w:marRight w:val="0"/>
      <w:marTop w:val="0"/>
      <w:marBottom w:val="0"/>
      <w:divBdr>
        <w:top w:val="none" w:sz="0" w:space="0" w:color="auto"/>
        <w:left w:val="none" w:sz="0" w:space="0" w:color="auto"/>
        <w:bottom w:val="none" w:sz="0" w:space="0" w:color="auto"/>
        <w:right w:val="none" w:sz="0" w:space="0" w:color="auto"/>
      </w:divBdr>
    </w:div>
    <w:div w:id="1795096779">
      <w:bodyDiv w:val="1"/>
      <w:marLeft w:val="0"/>
      <w:marRight w:val="0"/>
      <w:marTop w:val="0"/>
      <w:marBottom w:val="0"/>
      <w:divBdr>
        <w:top w:val="none" w:sz="0" w:space="0" w:color="auto"/>
        <w:left w:val="none" w:sz="0" w:space="0" w:color="auto"/>
        <w:bottom w:val="none" w:sz="0" w:space="0" w:color="auto"/>
        <w:right w:val="none" w:sz="0" w:space="0" w:color="auto"/>
      </w:divBdr>
      <w:divsChild>
        <w:div w:id="237522435">
          <w:marLeft w:val="0"/>
          <w:marRight w:val="0"/>
          <w:marTop w:val="0"/>
          <w:marBottom w:val="0"/>
          <w:divBdr>
            <w:top w:val="none" w:sz="0" w:space="0" w:color="auto"/>
            <w:left w:val="none" w:sz="0" w:space="0" w:color="auto"/>
            <w:bottom w:val="none" w:sz="0" w:space="0" w:color="auto"/>
            <w:right w:val="none" w:sz="0" w:space="0" w:color="auto"/>
          </w:divBdr>
          <w:divsChild>
            <w:div w:id="2008753662">
              <w:marLeft w:val="0"/>
              <w:marRight w:val="0"/>
              <w:marTop w:val="0"/>
              <w:marBottom w:val="0"/>
              <w:divBdr>
                <w:top w:val="none" w:sz="0" w:space="0" w:color="auto"/>
                <w:left w:val="none" w:sz="0" w:space="0" w:color="auto"/>
                <w:bottom w:val="none" w:sz="0" w:space="0" w:color="auto"/>
                <w:right w:val="none" w:sz="0" w:space="0" w:color="auto"/>
              </w:divBdr>
              <w:divsChild>
                <w:div w:id="365563858">
                  <w:marLeft w:val="0"/>
                  <w:marRight w:val="0"/>
                  <w:marTop w:val="0"/>
                  <w:marBottom w:val="0"/>
                  <w:divBdr>
                    <w:top w:val="none" w:sz="0" w:space="0" w:color="auto"/>
                    <w:left w:val="none" w:sz="0" w:space="0" w:color="auto"/>
                    <w:bottom w:val="none" w:sz="0" w:space="0" w:color="auto"/>
                    <w:right w:val="none" w:sz="0" w:space="0" w:color="auto"/>
                  </w:divBdr>
                  <w:divsChild>
                    <w:div w:id="285506592">
                      <w:marLeft w:val="0"/>
                      <w:marRight w:val="0"/>
                      <w:marTop w:val="0"/>
                      <w:marBottom w:val="0"/>
                      <w:divBdr>
                        <w:top w:val="none" w:sz="0" w:space="0" w:color="auto"/>
                        <w:left w:val="none" w:sz="0" w:space="0" w:color="auto"/>
                        <w:bottom w:val="none" w:sz="0" w:space="0" w:color="auto"/>
                        <w:right w:val="none" w:sz="0" w:space="0" w:color="auto"/>
                      </w:divBdr>
                      <w:divsChild>
                        <w:div w:id="1463617723">
                          <w:marLeft w:val="0"/>
                          <w:marRight w:val="0"/>
                          <w:marTop w:val="0"/>
                          <w:marBottom w:val="0"/>
                          <w:divBdr>
                            <w:top w:val="none" w:sz="0" w:space="0" w:color="auto"/>
                            <w:left w:val="none" w:sz="0" w:space="0" w:color="auto"/>
                            <w:bottom w:val="none" w:sz="0" w:space="0" w:color="auto"/>
                            <w:right w:val="none" w:sz="0" w:space="0" w:color="auto"/>
                          </w:divBdr>
                          <w:divsChild>
                            <w:div w:id="117191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070882">
      <w:bodyDiv w:val="1"/>
      <w:marLeft w:val="0"/>
      <w:marRight w:val="0"/>
      <w:marTop w:val="0"/>
      <w:marBottom w:val="0"/>
      <w:divBdr>
        <w:top w:val="none" w:sz="0" w:space="0" w:color="auto"/>
        <w:left w:val="none" w:sz="0" w:space="0" w:color="auto"/>
        <w:bottom w:val="none" w:sz="0" w:space="0" w:color="auto"/>
        <w:right w:val="none" w:sz="0" w:space="0" w:color="auto"/>
      </w:divBdr>
    </w:div>
    <w:div w:id="212857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C4F9E-8641-4B5F-BBC0-93CB834F2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1803</Words>
  <Characters>1029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ltab</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Agris Daukste</cp:lastModifiedBy>
  <cp:revision>2</cp:revision>
  <dcterms:created xsi:type="dcterms:W3CDTF">2026-08-25T08:06:00Z</dcterms:created>
  <dcterms:modified xsi:type="dcterms:W3CDTF">2026-08-25T08:06:00Z</dcterms:modified>
</cp:coreProperties>
</file>