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4FBB" w14:textId="4D649969" w:rsidR="00E21F46" w:rsidRPr="0045329B" w:rsidRDefault="0045329B" w:rsidP="001655C5">
      <w:pPr>
        <w:spacing w:after="0" w:line="240" w:lineRule="auto"/>
        <w:jc w:val="right"/>
        <w:rPr>
          <w:sz w:val="24"/>
          <w:szCs w:val="24"/>
          <w:lang w:val="ru-RU"/>
        </w:rPr>
      </w:pPr>
      <w:r>
        <w:rPr>
          <w:sz w:val="24"/>
          <w:szCs w:val="24"/>
          <w:lang w:val="ru-RU"/>
        </w:rPr>
        <w:t>Информация для прессы</w:t>
      </w:r>
    </w:p>
    <w:p w14:paraId="7CFC7E04" w14:textId="55E7F941" w:rsidR="00E21F46" w:rsidRPr="00B71B9C" w:rsidRDefault="00635C0E" w:rsidP="001655C5">
      <w:pPr>
        <w:spacing w:after="0" w:line="240" w:lineRule="auto"/>
        <w:jc w:val="right"/>
        <w:rPr>
          <w:sz w:val="24"/>
          <w:szCs w:val="24"/>
        </w:rPr>
      </w:pPr>
      <w:r w:rsidRPr="00B71B9C">
        <w:rPr>
          <w:sz w:val="24"/>
          <w:szCs w:val="24"/>
        </w:rPr>
        <w:t>2</w:t>
      </w:r>
      <w:r w:rsidR="00FE72FE" w:rsidRPr="00B71B9C">
        <w:rPr>
          <w:sz w:val="24"/>
          <w:szCs w:val="24"/>
        </w:rPr>
        <w:t>8</w:t>
      </w:r>
      <w:r w:rsidR="00BC5ABF" w:rsidRPr="00B71B9C">
        <w:rPr>
          <w:sz w:val="24"/>
          <w:szCs w:val="24"/>
        </w:rPr>
        <w:t>.</w:t>
      </w:r>
      <w:r w:rsidR="004C0D4E" w:rsidRPr="00B71B9C">
        <w:rPr>
          <w:sz w:val="24"/>
          <w:szCs w:val="24"/>
        </w:rPr>
        <w:t>10</w:t>
      </w:r>
      <w:r w:rsidR="00243E31" w:rsidRPr="00B71B9C">
        <w:rPr>
          <w:sz w:val="24"/>
          <w:szCs w:val="24"/>
        </w:rPr>
        <w:t>.2016</w:t>
      </w:r>
    </w:p>
    <w:p w14:paraId="7D7B4B6C" w14:textId="77777777" w:rsidR="00D47278" w:rsidRPr="00B71B9C" w:rsidRDefault="00D47278" w:rsidP="001655C5">
      <w:pPr>
        <w:spacing w:after="0" w:line="240" w:lineRule="auto"/>
        <w:jc w:val="right"/>
        <w:rPr>
          <w:sz w:val="24"/>
          <w:szCs w:val="24"/>
        </w:rPr>
      </w:pPr>
    </w:p>
    <w:p w14:paraId="43C9A9D1" w14:textId="4870717B" w:rsidR="00E53FD0" w:rsidRPr="00E53FD0" w:rsidRDefault="00FE72FE" w:rsidP="00E27169">
      <w:pPr>
        <w:spacing w:after="0" w:line="240" w:lineRule="auto"/>
        <w:jc w:val="both"/>
        <w:rPr>
          <w:b/>
          <w:sz w:val="24"/>
          <w:szCs w:val="24"/>
        </w:rPr>
      </w:pPr>
      <w:r w:rsidRPr="00B71B9C">
        <w:rPr>
          <w:b/>
          <w:sz w:val="24"/>
          <w:szCs w:val="24"/>
        </w:rPr>
        <w:t xml:space="preserve">LTAB: </w:t>
      </w:r>
      <w:r w:rsidR="00E53FD0">
        <w:rPr>
          <w:b/>
          <w:sz w:val="24"/>
          <w:szCs w:val="24"/>
          <w:lang w:val="ru-RU"/>
        </w:rPr>
        <w:t xml:space="preserve">чтобы улучшить знания участников дорожного движения </w:t>
      </w:r>
      <w:r w:rsidR="00F47DF0">
        <w:rPr>
          <w:b/>
          <w:sz w:val="24"/>
          <w:szCs w:val="24"/>
          <w:lang w:val="ru-RU"/>
        </w:rPr>
        <w:t xml:space="preserve">о компенсациях ОСТА, предстоит сделать </w:t>
      </w:r>
      <w:r w:rsidR="00E53FD0">
        <w:rPr>
          <w:b/>
          <w:sz w:val="24"/>
          <w:szCs w:val="24"/>
          <w:lang w:val="ru-RU"/>
        </w:rPr>
        <w:t>еще большую работу</w:t>
      </w:r>
    </w:p>
    <w:p w14:paraId="4968E13F" w14:textId="77777777" w:rsidR="0052615C" w:rsidRPr="00A37F10" w:rsidRDefault="0052615C" w:rsidP="001655C5">
      <w:pPr>
        <w:spacing w:after="0" w:line="240" w:lineRule="auto"/>
        <w:jc w:val="center"/>
        <w:rPr>
          <w:b/>
        </w:rPr>
      </w:pPr>
    </w:p>
    <w:p w14:paraId="6A530231" w14:textId="1CBE64F6" w:rsidR="00E53FD0" w:rsidRDefault="00E53FD0" w:rsidP="002E6ADF">
      <w:pPr>
        <w:spacing w:after="0" w:line="240" w:lineRule="auto"/>
        <w:jc w:val="both"/>
        <w:rPr>
          <w:b/>
          <w:sz w:val="21"/>
          <w:szCs w:val="21"/>
          <w:lang w:val="ru-RU"/>
        </w:rPr>
      </w:pPr>
      <w:bookmarkStart w:id="0" w:name="_GoBack"/>
      <w:r>
        <w:rPr>
          <w:b/>
          <w:sz w:val="21"/>
          <w:szCs w:val="21"/>
          <w:lang w:val="ru-RU"/>
        </w:rPr>
        <w:t xml:space="preserve">Завершилась </w:t>
      </w:r>
      <w:r w:rsidRPr="00E53FD0">
        <w:rPr>
          <w:b/>
          <w:sz w:val="21"/>
          <w:szCs w:val="21"/>
          <w:lang w:val="ru-RU"/>
        </w:rPr>
        <w:t xml:space="preserve">кампания Латвийского бюро страховщиков </w:t>
      </w:r>
      <w:r w:rsidR="00263ECB">
        <w:rPr>
          <w:b/>
          <w:sz w:val="21"/>
          <w:szCs w:val="21"/>
          <w:lang w:val="ru-RU"/>
        </w:rPr>
        <w:t>т</w:t>
      </w:r>
      <w:r w:rsidRPr="00E53FD0">
        <w:rPr>
          <w:b/>
          <w:sz w:val="21"/>
          <w:szCs w:val="21"/>
          <w:lang w:val="ru-RU"/>
        </w:rPr>
        <w:t xml:space="preserve">ранспортных средств (далее – LTAB) «Застраховался – и вперед!» </w:t>
      </w:r>
      <w:r w:rsidRPr="00E27169">
        <w:rPr>
          <w:b/>
          <w:i/>
          <w:sz w:val="21"/>
          <w:szCs w:val="21"/>
          <w:lang w:val="ru-RU"/>
        </w:rPr>
        <w:t>(“Apdrošināts un vienā mierā!”),</w:t>
      </w:r>
      <w:r>
        <w:rPr>
          <w:b/>
          <w:sz w:val="21"/>
          <w:szCs w:val="21"/>
          <w:lang w:val="ru-RU"/>
        </w:rPr>
        <w:t xml:space="preserve"> </w:t>
      </w:r>
      <w:r w:rsidRPr="0057606F">
        <w:rPr>
          <w:b/>
          <w:sz w:val="21"/>
          <w:szCs w:val="21"/>
          <w:lang w:val="ru-RU"/>
        </w:rPr>
        <w:t xml:space="preserve">целью которой было </w:t>
      </w:r>
      <w:r w:rsidR="00E27169">
        <w:rPr>
          <w:b/>
          <w:sz w:val="21"/>
          <w:szCs w:val="21"/>
          <w:lang w:val="ru-RU"/>
        </w:rPr>
        <w:t>привлечение внимания</w:t>
      </w:r>
      <w:r w:rsidRPr="0057606F">
        <w:rPr>
          <w:b/>
          <w:sz w:val="21"/>
          <w:szCs w:val="21"/>
          <w:lang w:val="ru-RU"/>
        </w:rPr>
        <w:t xml:space="preserve"> всех участников дорожного движения к вопросам компенсации ОСТА.</w:t>
      </w:r>
      <w:r w:rsidR="0057606F">
        <w:rPr>
          <w:b/>
          <w:sz w:val="21"/>
          <w:szCs w:val="21"/>
          <w:lang w:val="ru-RU"/>
        </w:rPr>
        <w:t xml:space="preserve">  «Главный посыл кампании, который помогал скоммуницировать известный латвийский рэпер Озолс, достиг многих участников дорожного движения, которые хотели узнать о том, какие виды компенсации ОСТА существуют, как их получить, а также выяснить другие вопросы. Об этом свидетельствуют полученные телефонные звонки и активное посещение домашней страницы кампании», - рассказывает </w:t>
      </w:r>
      <w:r w:rsidR="0057606F" w:rsidRPr="0057606F">
        <w:rPr>
          <w:b/>
          <w:sz w:val="21"/>
          <w:szCs w:val="21"/>
          <w:lang w:val="ru-RU"/>
        </w:rPr>
        <w:t>председа</w:t>
      </w:r>
      <w:r w:rsidR="0057606F">
        <w:rPr>
          <w:b/>
          <w:sz w:val="21"/>
          <w:szCs w:val="21"/>
          <w:lang w:val="ru-RU"/>
        </w:rPr>
        <w:t xml:space="preserve">тель правления LTAB Янис Абашин, добавляя, что, </w:t>
      </w:r>
      <w:r w:rsidR="0057606F" w:rsidRPr="0057606F">
        <w:rPr>
          <w:b/>
          <w:sz w:val="21"/>
          <w:szCs w:val="21"/>
          <w:lang w:val="ru-RU"/>
        </w:rPr>
        <w:t xml:space="preserve">чтобы улучшить знания участников дорожного движения о компенсациях ОСТА, </w:t>
      </w:r>
      <w:r w:rsidR="0057606F">
        <w:rPr>
          <w:b/>
          <w:sz w:val="21"/>
          <w:szCs w:val="21"/>
          <w:lang w:val="ru-RU"/>
        </w:rPr>
        <w:t>LTAB и страховщикам необходимо сделать еще очень много.</w:t>
      </w:r>
      <w:bookmarkEnd w:id="0"/>
    </w:p>
    <w:p w14:paraId="0D880771" w14:textId="77777777" w:rsidR="00E53FD0" w:rsidRPr="00E53FD0" w:rsidRDefault="00E53FD0" w:rsidP="002E6ADF">
      <w:pPr>
        <w:spacing w:after="0" w:line="240" w:lineRule="auto"/>
        <w:jc w:val="both"/>
        <w:rPr>
          <w:b/>
          <w:sz w:val="21"/>
          <w:szCs w:val="21"/>
          <w:lang w:val="ru-RU"/>
        </w:rPr>
      </w:pPr>
    </w:p>
    <w:p w14:paraId="557C8AD7" w14:textId="7AB7F7F5" w:rsidR="0044088F" w:rsidRPr="00CA2975" w:rsidRDefault="0044088F" w:rsidP="001655C5">
      <w:pPr>
        <w:spacing w:after="0" w:line="240" w:lineRule="auto"/>
        <w:jc w:val="both"/>
        <w:rPr>
          <w:sz w:val="21"/>
          <w:szCs w:val="21"/>
          <w:lang w:val="ru-RU"/>
        </w:rPr>
      </w:pPr>
      <w:proofErr w:type="spellStart"/>
      <w:r w:rsidRPr="0044088F">
        <w:rPr>
          <w:sz w:val="21"/>
          <w:szCs w:val="21"/>
        </w:rPr>
        <w:t>Чтобы</w:t>
      </w:r>
      <w:proofErr w:type="spellEnd"/>
      <w:r w:rsidRPr="0044088F">
        <w:rPr>
          <w:sz w:val="21"/>
          <w:szCs w:val="21"/>
        </w:rPr>
        <w:t xml:space="preserve"> </w:t>
      </w:r>
      <w:proofErr w:type="spellStart"/>
      <w:r w:rsidRPr="0044088F">
        <w:rPr>
          <w:sz w:val="21"/>
          <w:szCs w:val="21"/>
        </w:rPr>
        <w:t>разъяснить</w:t>
      </w:r>
      <w:proofErr w:type="spellEnd"/>
      <w:r w:rsidRPr="0044088F">
        <w:rPr>
          <w:sz w:val="21"/>
          <w:szCs w:val="21"/>
        </w:rPr>
        <w:t xml:space="preserve">, </w:t>
      </w:r>
      <w:proofErr w:type="spellStart"/>
      <w:r w:rsidRPr="0044088F">
        <w:rPr>
          <w:sz w:val="21"/>
          <w:szCs w:val="21"/>
        </w:rPr>
        <w:t>какие</w:t>
      </w:r>
      <w:proofErr w:type="spellEnd"/>
      <w:r w:rsidRPr="0044088F">
        <w:rPr>
          <w:sz w:val="21"/>
          <w:szCs w:val="21"/>
        </w:rPr>
        <w:t xml:space="preserve"> </w:t>
      </w:r>
      <w:proofErr w:type="spellStart"/>
      <w:r w:rsidRPr="0044088F">
        <w:rPr>
          <w:sz w:val="21"/>
          <w:szCs w:val="21"/>
        </w:rPr>
        <w:t>виды</w:t>
      </w:r>
      <w:proofErr w:type="spellEnd"/>
      <w:r w:rsidRPr="0044088F">
        <w:rPr>
          <w:sz w:val="21"/>
          <w:szCs w:val="21"/>
        </w:rPr>
        <w:t xml:space="preserve"> </w:t>
      </w:r>
      <w:proofErr w:type="spellStart"/>
      <w:r w:rsidRPr="0044088F">
        <w:rPr>
          <w:sz w:val="21"/>
          <w:szCs w:val="21"/>
        </w:rPr>
        <w:t>убытков</w:t>
      </w:r>
      <w:proofErr w:type="spellEnd"/>
      <w:r w:rsidRPr="0044088F">
        <w:rPr>
          <w:sz w:val="21"/>
          <w:szCs w:val="21"/>
        </w:rPr>
        <w:t xml:space="preserve"> </w:t>
      </w:r>
      <w:proofErr w:type="spellStart"/>
      <w:r w:rsidRPr="0044088F">
        <w:rPr>
          <w:sz w:val="21"/>
          <w:szCs w:val="21"/>
        </w:rPr>
        <w:t>покрывает</w:t>
      </w:r>
      <w:proofErr w:type="spellEnd"/>
      <w:r w:rsidRPr="0044088F">
        <w:rPr>
          <w:sz w:val="21"/>
          <w:szCs w:val="21"/>
        </w:rPr>
        <w:t xml:space="preserve"> ОСТА, LTAB в </w:t>
      </w:r>
      <w:proofErr w:type="spellStart"/>
      <w:r w:rsidRPr="0044088F">
        <w:rPr>
          <w:sz w:val="21"/>
          <w:szCs w:val="21"/>
        </w:rPr>
        <w:t>середине</w:t>
      </w:r>
      <w:proofErr w:type="spellEnd"/>
      <w:r w:rsidRPr="0044088F">
        <w:rPr>
          <w:sz w:val="21"/>
          <w:szCs w:val="21"/>
        </w:rPr>
        <w:t xml:space="preserve"> </w:t>
      </w:r>
      <w:proofErr w:type="spellStart"/>
      <w:r w:rsidRPr="0044088F">
        <w:rPr>
          <w:sz w:val="21"/>
          <w:szCs w:val="21"/>
        </w:rPr>
        <w:t>сентября</w:t>
      </w:r>
      <w:proofErr w:type="spellEnd"/>
      <w:r w:rsidRPr="0044088F">
        <w:rPr>
          <w:sz w:val="21"/>
          <w:szCs w:val="21"/>
        </w:rPr>
        <w:t xml:space="preserve"> </w:t>
      </w:r>
      <w:proofErr w:type="spellStart"/>
      <w:r w:rsidRPr="0044088F">
        <w:rPr>
          <w:sz w:val="21"/>
          <w:szCs w:val="21"/>
        </w:rPr>
        <w:t>начал</w:t>
      </w:r>
      <w:proofErr w:type="spellEnd"/>
      <w:r w:rsidRPr="0044088F">
        <w:rPr>
          <w:sz w:val="21"/>
          <w:szCs w:val="21"/>
        </w:rPr>
        <w:t xml:space="preserve"> </w:t>
      </w:r>
      <w:proofErr w:type="spellStart"/>
      <w:r w:rsidRPr="0044088F">
        <w:rPr>
          <w:sz w:val="21"/>
          <w:szCs w:val="21"/>
        </w:rPr>
        <w:t>кампанию</w:t>
      </w:r>
      <w:proofErr w:type="spellEnd"/>
      <w:r w:rsidRPr="0044088F">
        <w:rPr>
          <w:sz w:val="21"/>
          <w:szCs w:val="21"/>
        </w:rPr>
        <w:t xml:space="preserve"> «</w:t>
      </w:r>
      <w:proofErr w:type="spellStart"/>
      <w:r w:rsidRPr="0044088F">
        <w:rPr>
          <w:sz w:val="21"/>
          <w:szCs w:val="21"/>
        </w:rPr>
        <w:t>Застраховался</w:t>
      </w:r>
      <w:proofErr w:type="spellEnd"/>
      <w:r w:rsidRPr="0044088F">
        <w:rPr>
          <w:sz w:val="21"/>
          <w:szCs w:val="21"/>
        </w:rPr>
        <w:t xml:space="preserve"> – и </w:t>
      </w:r>
      <w:proofErr w:type="spellStart"/>
      <w:r w:rsidRPr="0044088F">
        <w:rPr>
          <w:sz w:val="21"/>
          <w:szCs w:val="21"/>
        </w:rPr>
        <w:t>вперед</w:t>
      </w:r>
      <w:proofErr w:type="spellEnd"/>
      <w:r w:rsidRPr="0044088F">
        <w:rPr>
          <w:sz w:val="21"/>
          <w:szCs w:val="21"/>
        </w:rPr>
        <w:t xml:space="preserve">!» (“Apdrošināts un vienā mierā!”). В </w:t>
      </w:r>
      <w:proofErr w:type="spellStart"/>
      <w:r w:rsidRPr="0044088F">
        <w:rPr>
          <w:sz w:val="21"/>
          <w:szCs w:val="21"/>
        </w:rPr>
        <w:t>течение</w:t>
      </w:r>
      <w:proofErr w:type="spellEnd"/>
      <w:r w:rsidRPr="0044088F">
        <w:rPr>
          <w:sz w:val="21"/>
          <w:szCs w:val="21"/>
        </w:rPr>
        <w:t xml:space="preserve"> </w:t>
      </w:r>
      <w:proofErr w:type="spellStart"/>
      <w:r w:rsidRPr="0044088F">
        <w:rPr>
          <w:sz w:val="21"/>
          <w:szCs w:val="21"/>
        </w:rPr>
        <w:t>четырех</w:t>
      </w:r>
      <w:proofErr w:type="spellEnd"/>
      <w:r w:rsidRPr="0044088F">
        <w:rPr>
          <w:sz w:val="21"/>
          <w:szCs w:val="21"/>
        </w:rPr>
        <w:t xml:space="preserve"> </w:t>
      </w:r>
      <w:proofErr w:type="spellStart"/>
      <w:r w:rsidRPr="0044088F">
        <w:rPr>
          <w:sz w:val="21"/>
          <w:szCs w:val="21"/>
        </w:rPr>
        <w:t>недель</w:t>
      </w:r>
      <w:proofErr w:type="spellEnd"/>
      <w:r w:rsidRPr="0044088F">
        <w:rPr>
          <w:sz w:val="21"/>
          <w:szCs w:val="21"/>
        </w:rPr>
        <w:t xml:space="preserve"> в </w:t>
      </w:r>
      <w:proofErr w:type="spellStart"/>
      <w:r w:rsidRPr="0044088F">
        <w:rPr>
          <w:sz w:val="21"/>
          <w:szCs w:val="21"/>
        </w:rPr>
        <w:t>сотрудничестве</w:t>
      </w:r>
      <w:proofErr w:type="spellEnd"/>
      <w:r w:rsidRPr="0044088F">
        <w:rPr>
          <w:sz w:val="21"/>
          <w:szCs w:val="21"/>
        </w:rPr>
        <w:t xml:space="preserve"> с </w:t>
      </w:r>
      <w:proofErr w:type="spellStart"/>
      <w:r w:rsidRPr="0044088F">
        <w:rPr>
          <w:sz w:val="21"/>
          <w:szCs w:val="21"/>
        </w:rPr>
        <w:t>популярн</w:t>
      </w:r>
      <w:r>
        <w:rPr>
          <w:sz w:val="21"/>
          <w:szCs w:val="21"/>
        </w:rPr>
        <w:t>ым</w:t>
      </w:r>
      <w:proofErr w:type="spellEnd"/>
      <w:r>
        <w:rPr>
          <w:sz w:val="21"/>
          <w:szCs w:val="21"/>
        </w:rPr>
        <w:t xml:space="preserve"> </w:t>
      </w:r>
      <w:proofErr w:type="spellStart"/>
      <w:r>
        <w:rPr>
          <w:sz w:val="21"/>
          <w:szCs w:val="21"/>
        </w:rPr>
        <w:t>р</w:t>
      </w:r>
      <w:r w:rsidR="00E27169">
        <w:rPr>
          <w:sz w:val="21"/>
          <w:szCs w:val="21"/>
        </w:rPr>
        <w:t>э</w:t>
      </w:r>
      <w:r>
        <w:rPr>
          <w:sz w:val="21"/>
          <w:szCs w:val="21"/>
        </w:rPr>
        <w:t>пером</w:t>
      </w:r>
      <w:proofErr w:type="spellEnd"/>
      <w:r>
        <w:rPr>
          <w:sz w:val="21"/>
          <w:szCs w:val="21"/>
        </w:rPr>
        <w:t xml:space="preserve"> </w:t>
      </w:r>
      <w:proofErr w:type="spellStart"/>
      <w:r>
        <w:rPr>
          <w:sz w:val="21"/>
          <w:szCs w:val="21"/>
        </w:rPr>
        <w:t>Озол</w:t>
      </w:r>
      <w:proofErr w:type="spellEnd"/>
      <w:r w:rsidR="00CA2975">
        <w:rPr>
          <w:sz w:val="21"/>
          <w:szCs w:val="21"/>
          <w:lang w:val="ru-RU"/>
        </w:rPr>
        <w:t>с</w:t>
      </w:r>
      <w:proofErr w:type="spellStart"/>
      <w:r w:rsidR="00E27169">
        <w:rPr>
          <w:sz w:val="21"/>
          <w:szCs w:val="21"/>
        </w:rPr>
        <w:t>ом</w:t>
      </w:r>
      <w:proofErr w:type="spellEnd"/>
      <w:r w:rsidRPr="0044088F">
        <w:rPr>
          <w:sz w:val="21"/>
          <w:szCs w:val="21"/>
        </w:rPr>
        <w:t xml:space="preserve"> в </w:t>
      </w:r>
      <w:proofErr w:type="spellStart"/>
      <w:r w:rsidRPr="0044088F">
        <w:rPr>
          <w:sz w:val="21"/>
          <w:szCs w:val="21"/>
        </w:rPr>
        <w:t>различных</w:t>
      </w:r>
      <w:proofErr w:type="spellEnd"/>
      <w:r w:rsidRPr="0044088F">
        <w:rPr>
          <w:sz w:val="21"/>
          <w:szCs w:val="21"/>
        </w:rPr>
        <w:t xml:space="preserve"> </w:t>
      </w:r>
      <w:proofErr w:type="spellStart"/>
      <w:r w:rsidRPr="0044088F">
        <w:rPr>
          <w:sz w:val="21"/>
          <w:szCs w:val="21"/>
        </w:rPr>
        <w:t>медиа</w:t>
      </w:r>
      <w:proofErr w:type="spellEnd"/>
      <w:r>
        <w:rPr>
          <w:sz w:val="21"/>
          <w:szCs w:val="21"/>
          <w:lang w:val="ru-RU"/>
        </w:rPr>
        <w:t xml:space="preserve"> разъяснялось</w:t>
      </w:r>
      <w:r>
        <w:rPr>
          <w:sz w:val="21"/>
          <w:szCs w:val="21"/>
        </w:rPr>
        <w:t xml:space="preserve"> о </w:t>
      </w:r>
      <w:proofErr w:type="spellStart"/>
      <w:r w:rsidR="00E27169">
        <w:rPr>
          <w:sz w:val="21"/>
          <w:szCs w:val="21"/>
        </w:rPr>
        <w:t>видах</w:t>
      </w:r>
      <w:proofErr w:type="spellEnd"/>
      <w:r w:rsidR="00E27169">
        <w:rPr>
          <w:sz w:val="21"/>
          <w:szCs w:val="21"/>
        </w:rPr>
        <w:t xml:space="preserve"> </w:t>
      </w:r>
      <w:proofErr w:type="spellStart"/>
      <w:r w:rsidR="00E27169">
        <w:rPr>
          <w:sz w:val="21"/>
          <w:szCs w:val="21"/>
        </w:rPr>
        <w:t>компенсаций</w:t>
      </w:r>
      <w:proofErr w:type="spellEnd"/>
      <w:r>
        <w:rPr>
          <w:sz w:val="21"/>
          <w:szCs w:val="21"/>
        </w:rPr>
        <w:t xml:space="preserve"> ОСТА, </w:t>
      </w:r>
      <w:proofErr w:type="spellStart"/>
      <w:r>
        <w:rPr>
          <w:sz w:val="21"/>
          <w:szCs w:val="21"/>
        </w:rPr>
        <w:t>возможностях</w:t>
      </w:r>
      <w:proofErr w:type="spellEnd"/>
      <w:r>
        <w:rPr>
          <w:sz w:val="21"/>
          <w:szCs w:val="21"/>
        </w:rPr>
        <w:t xml:space="preserve"> </w:t>
      </w:r>
      <w:proofErr w:type="spellStart"/>
      <w:r>
        <w:rPr>
          <w:sz w:val="21"/>
          <w:szCs w:val="21"/>
        </w:rPr>
        <w:t>пострадавших</w:t>
      </w:r>
      <w:proofErr w:type="spellEnd"/>
      <w:r>
        <w:rPr>
          <w:sz w:val="21"/>
          <w:szCs w:val="21"/>
        </w:rPr>
        <w:t xml:space="preserve"> </w:t>
      </w:r>
      <w:proofErr w:type="spellStart"/>
      <w:r>
        <w:rPr>
          <w:sz w:val="21"/>
          <w:szCs w:val="21"/>
        </w:rPr>
        <w:t>получить</w:t>
      </w:r>
      <w:proofErr w:type="spellEnd"/>
      <w:r>
        <w:rPr>
          <w:sz w:val="21"/>
          <w:szCs w:val="21"/>
        </w:rPr>
        <w:t xml:space="preserve"> </w:t>
      </w:r>
      <w:proofErr w:type="spellStart"/>
      <w:r>
        <w:rPr>
          <w:sz w:val="21"/>
          <w:szCs w:val="21"/>
        </w:rPr>
        <w:t>компенсации</w:t>
      </w:r>
      <w:proofErr w:type="spellEnd"/>
      <w:r w:rsidR="00CA2975">
        <w:rPr>
          <w:sz w:val="21"/>
          <w:szCs w:val="21"/>
          <w:lang w:val="ru-RU"/>
        </w:rPr>
        <w:t xml:space="preserve">, а также нюансах, которые необходимо иметь ввиду, чтобы подать страховщику заявку о причиненных здоровью, имуществу или транспортному средству убытках. </w:t>
      </w:r>
    </w:p>
    <w:p w14:paraId="1405F670" w14:textId="77777777" w:rsidR="0044088F" w:rsidRPr="00B71B9C" w:rsidRDefault="0044088F" w:rsidP="001655C5">
      <w:pPr>
        <w:spacing w:after="0" w:line="240" w:lineRule="auto"/>
        <w:jc w:val="both"/>
        <w:rPr>
          <w:sz w:val="21"/>
          <w:szCs w:val="21"/>
        </w:rPr>
      </w:pPr>
    </w:p>
    <w:p w14:paraId="1A48FFEF" w14:textId="53390486" w:rsidR="002E6ADF" w:rsidRPr="00CA2975" w:rsidRDefault="00CA2975" w:rsidP="002E6ADF">
      <w:pPr>
        <w:spacing w:after="0" w:line="240" w:lineRule="auto"/>
        <w:jc w:val="both"/>
        <w:rPr>
          <w:sz w:val="21"/>
          <w:szCs w:val="21"/>
          <w:lang w:val="ru-RU"/>
        </w:rPr>
      </w:pPr>
      <w:r>
        <w:rPr>
          <w:sz w:val="21"/>
          <w:szCs w:val="21"/>
          <w:lang w:val="ru-RU"/>
        </w:rPr>
        <w:t>В заключении кампании</w:t>
      </w:r>
      <w:r w:rsidRPr="00CA2975">
        <w:rPr>
          <w:sz w:val="21"/>
          <w:szCs w:val="21"/>
        </w:rPr>
        <w:t xml:space="preserve"> </w:t>
      </w:r>
      <w:r w:rsidRPr="0044088F">
        <w:rPr>
          <w:sz w:val="21"/>
          <w:szCs w:val="21"/>
        </w:rPr>
        <w:t>LTAB</w:t>
      </w:r>
      <w:r>
        <w:rPr>
          <w:sz w:val="21"/>
          <w:szCs w:val="21"/>
          <w:lang w:val="ru-RU"/>
        </w:rPr>
        <w:t xml:space="preserve"> проводил опрос, чтобы выяснить, каковы знания участников дорожного движения о различных видах компенсации ОСТА. Более половины опрошенных смогли назвать хотя бы 4 вида убытков, компенсируемых страхованием ОСТА, что является небольшим улучшением по сравнению с результатами опроса, проведенного год назад.</w:t>
      </w:r>
      <w:r w:rsidR="00913571">
        <w:rPr>
          <w:sz w:val="21"/>
          <w:szCs w:val="21"/>
          <w:lang w:val="ru-RU"/>
        </w:rPr>
        <w:t xml:space="preserve"> Также улучшились знания участников дорожного движения обо всех других видах компенсаций ОСТА (см. результаты на представленной ниже диаграмме).</w:t>
      </w:r>
    </w:p>
    <w:p w14:paraId="5787E58D" w14:textId="77777777" w:rsidR="00CA2975" w:rsidRPr="00B71B9C" w:rsidRDefault="00CA2975" w:rsidP="002E6ADF">
      <w:pPr>
        <w:spacing w:after="0" w:line="240" w:lineRule="auto"/>
        <w:jc w:val="both"/>
        <w:rPr>
          <w:sz w:val="21"/>
          <w:szCs w:val="21"/>
        </w:rPr>
      </w:pPr>
    </w:p>
    <w:p w14:paraId="4D4CCFC4" w14:textId="7652E33E" w:rsidR="002E6ADF" w:rsidRDefault="007035E7" w:rsidP="00A37F10">
      <w:pPr>
        <w:spacing w:after="0" w:line="240" w:lineRule="auto"/>
        <w:jc w:val="center"/>
        <w:rPr>
          <w:sz w:val="24"/>
          <w:szCs w:val="24"/>
        </w:rPr>
      </w:pPr>
      <w:r>
        <w:rPr>
          <w:noProof/>
          <w:lang w:eastAsia="lv-LV"/>
        </w:rPr>
        <w:drawing>
          <wp:inline distT="0" distB="0" distL="0" distR="0" wp14:anchorId="64E4B4C3" wp14:editId="118EB18F">
            <wp:extent cx="5932968" cy="3858880"/>
            <wp:effectExtent l="0" t="0" r="1079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40334F" w14:textId="77777777" w:rsidR="007035E7" w:rsidRDefault="007035E7" w:rsidP="00A37F10">
      <w:pPr>
        <w:spacing w:after="0" w:line="240" w:lineRule="auto"/>
        <w:jc w:val="center"/>
        <w:rPr>
          <w:sz w:val="24"/>
          <w:szCs w:val="24"/>
        </w:rPr>
      </w:pPr>
    </w:p>
    <w:p w14:paraId="39B0693D" w14:textId="77777777" w:rsidR="00E27169" w:rsidRDefault="00E27169" w:rsidP="00E27169">
      <w:pPr>
        <w:spacing w:after="0" w:line="240" w:lineRule="auto"/>
        <w:jc w:val="both"/>
        <w:rPr>
          <w:sz w:val="21"/>
          <w:szCs w:val="21"/>
          <w:lang w:val="ru-RU"/>
        </w:rPr>
      </w:pPr>
      <w:r w:rsidRPr="00665520">
        <w:rPr>
          <w:sz w:val="21"/>
          <w:szCs w:val="21"/>
          <w:lang w:val="ru-RU"/>
        </w:rPr>
        <w:lastRenderedPageBreak/>
        <w:t>В 1997 году в Латвии была введена система ОСТА, цель которой обеспечить защиту интересов третьих лиц, пострадавших в дорожном движении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Apdrosinasanas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3FC22DDD" w14:textId="77777777" w:rsidR="00E27169" w:rsidRPr="00665520" w:rsidRDefault="00E27169" w:rsidP="00E27169">
      <w:pPr>
        <w:spacing w:after="0" w:line="240" w:lineRule="auto"/>
        <w:jc w:val="both"/>
        <w:rPr>
          <w:sz w:val="21"/>
          <w:szCs w:val="21"/>
          <w:lang w:val="ru-RU"/>
        </w:rPr>
      </w:pPr>
    </w:p>
    <w:p w14:paraId="176655EC" w14:textId="77777777" w:rsidR="00E27169" w:rsidRPr="00E36F7D" w:rsidRDefault="00E27169" w:rsidP="00E27169">
      <w:pPr>
        <w:spacing w:after="0" w:line="240" w:lineRule="auto"/>
        <w:jc w:val="both"/>
        <w:rPr>
          <w:i/>
          <w:sz w:val="21"/>
          <w:szCs w:val="21"/>
        </w:rPr>
      </w:pPr>
      <w:r w:rsidRPr="00E36F7D">
        <w:rPr>
          <w:i/>
          <w:sz w:val="21"/>
          <w:szCs w:val="21"/>
        </w:rPr>
        <w:t xml:space="preserve">* </w:t>
      </w:r>
      <w:r>
        <w:rPr>
          <w:i/>
          <w:sz w:val="21"/>
          <w:szCs w:val="21"/>
          <w:lang w:val="ru-RU"/>
        </w:rPr>
        <w:t>Кампания финансируется из средств счета, созданного для предотвращения и профилактики дорожно-транспортных происшествий. Счет пополняется из взносов от проданных страховщиками полисов ОСТА.</w:t>
      </w:r>
    </w:p>
    <w:p w14:paraId="4BFB0205" w14:textId="77777777" w:rsidR="00E27169" w:rsidRPr="001655C5" w:rsidRDefault="00E27169" w:rsidP="00E27169">
      <w:pPr>
        <w:spacing w:after="0" w:line="240" w:lineRule="auto"/>
        <w:jc w:val="both"/>
        <w:rPr>
          <w:sz w:val="21"/>
          <w:szCs w:val="21"/>
        </w:rPr>
      </w:pPr>
    </w:p>
    <w:p w14:paraId="77895800" w14:textId="77777777" w:rsidR="00E27169" w:rsidRPr="001655C5" w:rsidRDefault="00E27169" w:rsidP="00E27169">
      <w:pPr>
        <w:spacing w:after="0" w:line="240" w:lineRule="auto"/>
        <w:jc w:val="right"/>
        <w:rPr>
          <w:sz w:val="21"/>
          <w:szCs w:val="21"/>
        </w:rPr>
      </w:pPr>
      <w:r>
        <w:rPr>
          <w:sz w:val="21"/>
          <w:szCs w:val="21"/>
          <w:lang w:val="ru-RU"/>
        </w:rPr>
        <w:t>Информацию подготовил</w:t>
      </w:r>
      <w:r w:rsidRPr="001655C5">
        <w:rPr>
          <w:sz w:val="21"/>
          <w:szCs w:val="21"/>
        </w:rPr>
        <w:t xml:space="preserve">: </w:t>
      </w:r>
    </w:p>
    <w:p w14:paraId="6B01DE33" w14:textId="77777777" w:rsidR="00E27169" w:rsidRPr="001655C5" w:rsidRDefault="00E27169" w:rsidP="00E27169">
      <w:pPr>
        <w:spacing w:after="0" w:line="240" w:lineRule="auto"/>
        <w:jc w:val="right"/>
        <w:rPr>
          <w:sz w:val="21"/>
          <w:szCs w:val="21"/>
        </w:rPr>
      </w:pPr>
      <w:r>
        <w:rPr>
          <w:sz w:val="21"/>
          <w:szCs w:val="21"/>
          <w:lang w:val="ru-RU"/>
        </w:rPr>
        <w:t xml:space="preserve">Консультант по общественным отношениям </w:t>
      </w:r>
      <w:r w:rsidRPr="001655C5">
        <w:rPr>
          <w:sz w:val="21"/>
          <w:szCs w:val="21"/>
        </w:rPr>
        <w:t xml:space="preserve">LTAB </w:t>
      </w:r>
    </w:p>
    <w:p w14:paraId="41B64170" w14:textId="77777777" w:rsidR="00E27169" w:rsidRPr="001C1BF5" w:rsidRDefault="00E27169" w:rsidP="00E27169">
      <w:pPr>
        <w:spacing w:after="0" w:line="240" w:lineRule="auto"/>
        <w:jc w:val="right"/>
        <w:rPr>
          <w:sz w:val="21"/>
          <w:szCs w:val="21"/>
        </w:rPr>
      </w:pPr>
      <w:proofErr w:type="spellStart"/>
      <w:r w:rsidRPr="001C1BF5">
        <w:rPr>
          <w:sz w:val="21"/>
          <w:szCs w:val="21"/>
        </w:rPr>
        <w:t>Гинтс</w:t>
      </w:r>
      <w:proofErr w:type="spellEnd"/>
      <w:r w:rsidRPr="001C1BF5">
        <w:rPr>
          <w:sz w:val="21"/>
          <w:szCs w:val="21"/>
        </w:rPr>
        <w:t xml:space="preserve"> </w:t>
      </w:r>
      <w:proofErr w:type="spellStart"/>
      <w:r w:rsidRPr="001C1BF5">
        <w:rPr>
          <w:sz w:val="21"/>
          <w:szCs w:val="21"/>
        </w:rPr>
        <w:t>Лаздиньш</w:t>
      </w:r>
      <w:proofErr w:type="spellEnd"/>
    </w:p>
    <w:p w14:paraId="07F949B8" w14:textId="77777777" w:rsidR="00E27169" w:rsidRPr="001655C5" w:rsidRDefault="00E27169" w:rsidP="00E27169">
      <w:pPr>
        <w:spacing w:after="0" w:line="240" w:lineRule="auto"/>
        <w:jc w:val="right"/>
        <w:rPr>
          <w:sz w:val="21"/>
          <w:szCs w:val="21"/>
        </w:rPr>
      </w:pPr>
      <w:proofErr w:type="spellStart"/>
      <w:r w:rsidRPr="001C1BF5">
        <w:rPr>
          <w:sz w:val="21"/>
          <w:szCs w:val="21"/>
        </w:rPr>
        <w:t>Тел</w:t>
      </w:r>
      <w:proofErr w:type="spellEnd"/>
      <w:r w:rsidRPr="001C1BF5">
        <w:rPr>
          <w:sz w:val="21"/>
          <w:szCs w:val="21"/>
        </w:rPr>
        <w:t>.</w:t>
      </w:r>
      <w:r w:rsidRPr="001655C5">
        <w:rPr>
          <w:sz w:val="21"/>
          <w:szCs w:val="21"/>
        </w:rPr>
        <w:t xml:space="preserve">: +371 29442282 </w:t>
      </w:r>
    </w:p>
    <w:p w14:paraId="018DDE21" w14:textId="77777777" w:rsidR="00E27169" w:rsidRPr="00665520" w:rsidRDefault="00E27169" w:rsidP="00E27169">
      <w:pPr>
        <w:spacing w:after="0" w:line="240" w:lineRule="auto"/>
        <w:jc w:val="right"/>
        <w:rPr>
          <w:sz w:val="21"/>
          <w:szCs w:val="21"/>
        </w:rPr>
      </w:pPr>
      <w:r>
        <w:rPr>
          <w:sz w:val="21"/>
          <w:szCs w:val="21"/>
        </w:rPr>
        <w:t>E-</w:t>
      </w:r>
      <w:r>
        <w:rPr>
          <w:sz w:val="21"/>
          <w:szCs w:val="21"/>
          <w:lang w:val="ru-RU"/>
        </w:rPr>
        <w:t>мейл</w:t>
      </w:r>
      <w:r w:rsidRPr="001655C5">
        <w:rPr>
          <w:sz w:val="21"/>
          <w:szCs w:val="21"/>
        </w:rPr>
        <w:t>: gints@olsen.lv</w:t>
      </w:r>
    </w:p>
    <w:p w14:paraId="3A3E453F" w14:textId="039657BC" w:rsidR="00A37F10" w:rsidRPr="00A37F10" w:rsidRDefault="00A37F10" w:rsidP="00E27169">
      <w:pPr>
        <w:spacing w:after="0" w:line="240" w:lineRule="auto"/>
        <w:jc w:val="both"/>
      </w:pPr>
    </w:p>
    <w:sectPr w:rsidR="00A37F10" w:rsidRPr="00A37F10" w:rsidSect="00B71B9C">
      <w:headerReference w:type="default" r:id="rId9"/>
      <w:footerReference w:type="default" r:id="rId10"/>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EF1A6" w14:textId="77777777" w:rsidR="004C7601" w:rsidRDefault="004C7601" w:rsidP="00C62AF7">
      <w:pPr>
        <w:spacing w:after="0" w:line="240" w:lineRule="auto"/>
      </w:pPr>
      <w:r>
        <w:separator/>
      </w:r>
    </w:p>
  </w:endnote>
  <w:endnote w:type="continuationSeparator" w:id="0">
    <w:p w14:paraId="31056FA0" w14:textId="77777777" w:rsidR="004C7601" w:rsidRDefault="004C7601"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8EF" w14:textId="77777777" w:rsidR="003D5E60" w:rsidRDefault="003D5E60"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4F0E751"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3D5E60" w:rsidRDefault="003D5E60"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3pt;height:19.25pt" o:ole="">
          <v:imagedata r:id="rId1" o:title=""/>
        </v:shape>
        <o:OLEObject Type="Embed" ProgID="CorelDraw.Graphic.17" ShapeID="_x0000_i1026" DrawAspect="Content" ObjectID="_1539160951" r:id="rId2"/>
      </w:object>
    </w:r>
  </w:p>
  <w:p w14:paraId="64F44FC1" w14:textId="77777777" w:rsidR="003D5E60" w:rsidRDefault="003D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3C4C4" w14:textId="77777777" w:rsidR="004C7601" w:rsidRDefault="004C7601" w:rsidP="00C62AF7">
      <w:pPr>
        <w:spacing w:after="0" w:line="240" w:lineRule="auto"/>
      </w:pPr>
      <w:r>
        <w:separator/>
      </w:r>
    </w:p>
  </w:footnote>
  <w:footnote w:type="continuationSeparator" w:id="0">
    <w:p w14:paraId="5BA269DE" w14:textId="77777777" w:rsidR="004C7601" w:rsidRDefault="004C7601"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879" w14:textId="13596C43" w:rsidR="003D5E60" w:rsidRDefault="00B71B9C">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5pt;height:47.7pt" o:ole="">
          <v:imagedata r:id="rId1" o:title=""/>
        </v:shape>
        <o:OLEObject Type="Embed" ProgID="CorelDraw.Graphic.17" ShapeID="_x0000_i1025" DrawAspect="Content" ObjectID="_1539160950" r:id="rId2"/>
      </w:object>
    </w:r>
  </w:p>
  <w:p w14:paraId="40EE4661" w14:textId="77777777" w:rsidR="003D5E60" w:rsidRDefault="003D5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6599"/>
    <w:rsid w:val="00010508"/>
    <w:rsid w:val="00010EF9"/>
    <w:rsid w:val="000125F1"/>
    <w:rsid w:val="00013C1F"/>
    <w:rsid w:val="00016695"/>
    <w:rsid w:val="000176BE"/>
    <w:rsid w:val="00021833"/>
    <w:rsid w:val="00022C67"/>
    <w:rsid w:val="000533E0"/>
    <w:rsid w:val="00073403"/>
    <w:rsid w:val="000745BC"/>
    <w:rsid w:val="00076F3C"/>
    <w:rsid w:val="0008728F"/>
    <w:rsid w:val="00093197"/>
    <w:rsid w:val="000A3E9D"/>
    <w:rsid w:val="000C172C"/>
    <w:rsid w:val="000D007C"/>
    <w:rsid w:val="000D5F6E"/>
    <w:rsid w:val="000F0C20"/>
    <w:rsid w:val="000F34C5"/>
    <w:rsid w:val="000F368A"/>
    <w:rsid w:val="000F74EB"/>
    <w:rsid w:val="00103B45"/>
    <w:rsid w:val="00110F4A"/>
    <w:rsid w:val="00135E74"/>
    <w:rsid w:val="001431F7"/>
    <w:rsid w:val="001445EC"/>
    <w:rsid w:val="00145203"/>
    <w:rsid w:val="00153B22"/>
    <w:rsid w:val="00155CE3"/>
    <w:rsid w:val="001655C5"/>
    <w:rsid w:val="00171015"/>
    <w:rsid w:val="00181E1E"/>
    <w:rsid w:val="00187964"/>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47FD9"/>
    <w:rsid w:val="00253CFD"/>
    <w:rsid w:val="00263392"/>
    <w:rsid w:val="00263ECB"/>
    <w:rsid w:val="002727E1"/>
    <w:rsid w:val="0027402E"/>
    <w:rsid w:val="00292BF3"/>
    <w:rsid w:val="00296055"/>
    <w:rsid w:val="002A38DE"/>
    <w:rsid w:val="002A52FD"/>
    <w:rsid w:val="002B2FAD"/>
    <w:rsid w:val="002B58F6"/>
    <w:rsid w:val="002C2CEA"/>
    <w:rsid w:val="002D32B8"/>
    <w:rsid w:val="002D5F23"/>
    <w:rsid w:val="002E6ADF"/>
    <w:rsid w:val="002F4D1A"/>
    <w:rsid w:val="003007EF"/>
    <w:rsid w:val="003024C6"/>
    <w:rsid w:val="00312824"/>
    <w:rsid w:val="003300CB"/>
    <w:rsid w:val="00330359"/>
    <w:rsid w:val="00334D2A"/>
    <w:rsid w:val="00335A08"/>
    <w:rsid w:val="00340007"/>
    <w:rsid w:val="00346FDE"/>
    <w:rsid w:val="00357F64"/>
    <w:rsid w:val="00363907"/>
    <w:rsid w:val="00384B18"/>
    <w:rsid w:val="003A520B"/>
    <w:rsid w:val="003A6799"/>
    <w:rsid w:val="003B2D0B"/>
    <w:rsid w:val="003D14B9"/>
    <w:rsid w:val="003D5E60"/>
    <w:rsid w:val="003E02A4"/>
    <w:rsid w:val="003F10BB"/>
    <w:rsid w:val="00403AB9"/>
    <w:rsid w:val="00431C3C"/>
    <w:rsid w:val="00436DF9"/>
    <w:rsid w:val="0044088F"/>
    <w:rsid w:val="0044242E"/>
    <w:rsid w:val="0045329B"/>
    <w:rsid w:val="0046691C"/>
    <w:rsid w:val="00471AE6"/>
    <w:rsid w:val="00474AAB"/>
    <w:rsid w:val="00475A9E"/>
    <w:rsid w:val="00480545"/>
    <w:rsid w:val="00480708"/>
    <w:rsid w:val="004813D9"/>
    <w:rsid w:val="00486439"/>
    <w:rsid w:val="004A620B"/>
    <w:rsid w:val="004C0D4E"/>
    <w:rsid w:val="004C32E0"/>
    <w:rsid w:val="004C7601"/>
    <w:rsid w:val="004E29C1"/>
    <w:rsid w:val="004F1A8A"/>
    <w:rsid w:val="00506CDA"/>
    <w:rsid w:val="005133BE"/>
    <w:rsid w:val="00520799"/>
    <w:rsid w:val="0052615C"/>
    <w:rsid w:val="005315DA"/>
    <w:rsid w:val="005342F8"/>
    <w:rsid w:val="00540C5C"/>
    <w:rsid w:val="005512E1"/>
    <w:rsid w:val="00557F5F"/>
    <w:rsid w:val="00567862"/>
    <w:rsid w:val="0057606F"/>
    <w:rsid w:val="005818DE"/>
    <w:rsid w:val="005821A4"/>
    <w:rsid w:val="00586C84"/>
    <w:rsid w:val="00590ADB"/>
    <w:rsid w:val="00593CD2"/>
    <w:rsid w:val="005B0F55"/>
    <w:rsid w:val="005E2F32"/>
    <w:rsid w:val="005E69F5"/>
    <w:rsid w:val="005E74C5"/>
    <w:rsid w:val="005F795A"/>
    <w:rsid w:val="00600EC3"/>
    <w:rsid w:val="00602385"/>
    <w:rsid w:val="00610DEE"/>
    <w:rsid w:val="00617E51"/>
    <w:rsid w:val="00635C0E"/>
    <w:rsid w:val="0065233F"/>
    <w:rsid w:val="006610B2"/>
    <w:rsid w:val="00662FED"/>
    <w:rsid w:val="00692C75"/>
    <w:rsid w:val="0069576E"/>
    <w:rsid w:val="0069593A"/>
    <w:rsid w:val="00696583"/>
    <w:rsid w:val="006A2F27"/>
    <w:rsid w:val="006B23F4"/>
    <w:rsid w:val="006E1375"/>
    <w:rsid w:val="006E2859"/>
    <w:rsid w:val="006E75CA"/>
    <w:rsid w:val="006F7771"/>
    <w:rsid w:val="00702BAE"/>
    <w:rsid w:val="007035E7"/>
    <w:rsid w:val="0070551C"/>
    <w:rsid w:val="00706A24"/>
    <w:rsid w:val="0071485D"/>
    <w:rsid w:val="00716B13"/>
    <w:rsid w:val="0072195C"/>
    <w:rsid w:val="00723F31"/>
    <w:rsid w:val="00760E54"/>
    <w:rsid w:val="007643E2"/>
    <w:rsid w:val="00771902"/>
    <w:rsid w:val="007914A5"/>
    <w:rsid w:val="007972A2"/>
    <w:rsid w:val="007A15FB"/>
    <w:rsid w:val="007A4BC7"/>
    <w:rsid w:val="007C4FE5"/>
    <w:rsid w:val="007E495C"/>
    <w:rsid w:val="007F0EA4"/>
    <w:rsid w:val="00807C77"/>
    <w:rsid w:val="008114B8"/>
    <w:rsid w:val="00813660"/>
    <w:rsid w:val="00815229"/>
    <w:rsid w:val="00815B2E"/>
    <w:rsid w:val="00815D1D"/>
    <w:rsid w:val="0082244A"/>
    <w:rsid w:val="00824F40"/>
    <w:rsid w:val="008278BE"/>
    <w:rsid w:val="00835431"/>
    <w:rsid w:val="00851736"/>
    <w:rsid w:val="00855E8D"/>
    <w:rsid w:val="00862629"/>
    <w:rsid w:val="008662D7"/>
    <w:rsid w:val="00870228"/>
    <w:rsid w:val="00881B76"/>
    <w:rsid w:val="0089695F"/>
    <w:rsid w:val="008B0A81"/>
    <w:rsid w:val="008B4A14"/>
    <w:rsid w:val="008B4D9C"/>
    <w:rsid w:val="008C1095"/>
    <w:rsid w:val="008E5DAE"/>
    <w:rsid w:val="008F0389"/>
    <w:rsid w:val="00913571"/>
    <w:rsid w:val="00951598"/>
    <w:rsid w:val="00952D27"/>
    <w:rsid w:val="009605DD"/>
    <w:rsid w:val="00963EDA"/>
    <w:rsid w:val="00964DE9"/>
    <w:rsid w:val="0097040E"/>
    <w:rsid w:val="009722A2"/>
    <w:rsid w:val="00973D97"/>
    <w:rsid w:val="009766DA"/>
    <w:rsid w:val="00982ED0"/>
    <w:rsid w:val="00987FC2"/>
    <w:rsid w:val="00997167"/>
    <w:rsid w:val="009A0549"/>
    <w:rsid w:val="009A1C36"/>
    <w:rsid w:val="009A7699"/>
    <w:rsid w:val="009B1390"/>
    <w:rsid w:val="009B34E9"/>
    <w:rsid w:val="009C15A3"/>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45F8"/>
    <w:rsid w:val="00B9675D"/>
    <w:rsid w:val="00BA2861"/>
    <w:rsid w:val="00BB74A3"/>
    <w:rsid w:val="00BB784E"/>
    <w:rsid w:val="00BC5ABF"/>
    <w:rsid w:val="00BC6C58"/>
    <w:rsid w:val="00BC78D6"/>
    <w:rsid w:val="00BD4AB8"/>
    <w:rsid w:val="00BE2661"/>
    <w:rsid w:val="00BF6846"/>
    <w:rsid w:val="00C12FDC"/>
    <w:rsid w:val="00C22A6A"/>
    <w:rsid w:val="00C31EDD"/>
    <w:rsid w:val="00C564F5"/>
    <w:rsid w:val="00C60E3C"/>
    <w:rsid w:val="00C62AF7"/>
    <w:rsid w:val="00C72D5E"/>
    <w:rsid w:val="00C80E9A"/>
    <w:rsid w:val="00C96D29"/>
    <w:rsid w:val="00CA09A9"/>
    <w:rsid w:val="00CA2975"/>
    <w:rsid w:val="00CA564A"/>
    <w:rsid w:val="00CA7715"/>
    <w:rsid w:val="00CB16A5"/>
    <w:rsid w:val="00CC1D83"/>
    <w:rsid w:val="00CC5D3D"/>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C04DD"/>
    <w:rsid w:val="00DD4A99"/>
    <w:rsid w:val="00DD5129"/>
    <w:rsid w:val="00DD55D3"/>
    <w:rsid w:val="00DD6EEA"/>
    <w:rsid w:val="00DF2A30"/>
    <w:rsid w:val="00DF2CBA"/>
    <w:rsid w:val="00E05691"/>
    <w:rsid w:val="00E21F46"/>
    <w:rsid w:val="00E220B7"/>
    <w:rsid w:val="00E23A71"/>
    <w:rsid w:val="00E27169"/>
    <w:rsid w:val="00E36F7D"/>
    <w:rsid w:val="00E40A2C"/>
    <w:rsid w:val="00E53FD0"/>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47DF0"/>
    <w:rsid w:val="00F70D38"/>
    <w:rsid w:val="00F72968"/>
    <w:rsid w:val="00F83526"/>
    <w:rsid w:val="00FA3342"/>
    <w:rsid w:val="00FD315A"/>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63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6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Какие из видов убытков, по Вашему мнению компенсирует страховщик? (процентуальное соотношение информированных респондентов по отношению ко всем опрошенным)</a:t>
            </a:r>
            <a:endParaRPr lang="lv-LV" sz="1200"/>
          </a:p>
          <a:p>
            <a:pPr>
              <a:defRPr sz="1400" b="0" i="0" u="none" strike="noStrike" kern="1200" spc="0" baseline="0">
                <a:solidFill>
                  <a:schemeClr val="tx1">
                    <a:lumMod val="65000"/>
                    <a:lumOff val="35000"/>
                  </a:schemeClr>
                </a:solidFill>
                <a:latin typeface="+mn-lt"/>
                <a:ea typeface="+mn-ea"/>
                <a:cs typeface="+mn-cs"/>
              </a:defRPr>
            </a:pPr>
            <a:endParaRPr lang="lv-LV"/>
          </a:p>
        </c:rich>
      </c:tx>
      <c:overlay val="0"/>
      <c:spPr>
        <a:noFill/>
        <a:ln>
          <a:noFill/>
        </a:ln>
        <a:effectLst/>
      </c:spPr>
    </c:title>
    <c:autoTitleDeleted val="0"/>
    <c:plotArea>
      <c:layout>
        <c:manualLayout>
          <c:layoutTarget val="inner"/>
          <c:xMode val="edge"/>
          <c:yMode val="edge"/>
          <c:x val="5.6605424321959752E-2"/>
          <c:y val="0.16103448275862073"/>
          <c:w val="0.92156917885264344"/>
          <c:h val="0.36274934383202101"/>
        </c:manualLayout>
      </c:layout>
      <c:barChart>
        <c:barDir val="col"/>
        <c:grouping val="clustered"/>
        <c:varyColors val="0"/>
        <c:ser>
          <c:idx val="0"/>
          <c:order val="0"/>
          <c:tx>
            <c:strRef>
              <c:f>Sheet1!$B$1</c:f>
              <c:strCache>
                <c:ptCount val="1"/>
                <c:pt idx="0">
                  <c:v>2015. год</c:v>
                </c:pt>
              </c:strCache>
            </c:strRef>
          </c:tx>
          <c:spPr>
            <a:solidFill>
              <a:schemeClr val="accent1"/>
            </a:solidFill>
            <a:ln>
              <a:noFill/>
            </a:ln>
            <a:effectLst/>
          </c:spPr>
          <c:invertIfNegative val="0"/>
          <c:cat>
            <c:strRef>
              <c:f>Sheet1!$A$2:$A$12</c:f>
              <c:strCache>
                <c:ptCount val="11"/>
                <c:pt idx="0">
                  <c:v>Повреждение и / или уничтожение транспортного средства</c:v>
                </c:pt>
                <c:pt idx="1">
                  <c:v>Повреждение и / или уничтожение имущества</c:v>
                </c:pt>
                <c:pt idx="2">
                  <c:v>Повреждение и / или уничтожение дороги, дорожной техники, зданий</c:v>
                </c:pt>
                <c:pt idx="3">
                  <c:v>Вред окружающей среде</c:v>
                </c:pt>
                <c:pt idx="4">
                  <c:v>Издержки на лечение и реабилитацию</c:v>
                </c:pt>
                <c:pt idx="5">
                  <c:v>Проходящая неработоспособность</c:v>
                </c:pt>
                <c:pt idx="6">
                  <c:v>Пенсии для инвалидов и иждивенцев</c:v>
                </c:pt>
                <c:pt idx="7">
                  <c:v>Расходы на похороны</c:v>
                </c:pt>
                <c:pt idx="8">
                  <c:v>Нематериальные убытки в связи с травмой пострадавшей персоны</c:v>
                </c:pt>
                <c:pt idx="9">
                  <c:v>Нематериальные убытки в связи с увечьями и др. пострадавшей персоны</c:v>
                </c:pt>
                <c:pt idx="10">
                  <c:v>Нематериальные убытки, компенсируемые иждивенцам, супругам и пр. пострадавшей персоны</c:v>
                </c:pt>
              </c:strCache>
            </c:strRef>
          </c:cat>
          <c:val>
            <c:numRef>
              <c:f>Sheet1!$B$2:$B$12</c:f>
              <c:numCache>
                <c:formatCode>General</c:formatCode>
                <c:ptCount val="11"/>
                <c:pt idx="0">
                  <c:v>96.28</c:v>
                </c:pt>
                <c:pt idx="1">
                  <c:v>66.05</c:v>
                </c:pt>
                <c:pt idx="2">
                  <c:v>48.09</c:v>
                </c:pt>
                <c:pt idx="3">
                  <c:v>31.16</c:v>
                </c:pt>
                <c:pt idx="4">
                  <c:v>65.58</c:v>
                </c:pt>
                <c:pt idx="5">
                  <c:v>31.16</c:v>
                </c:pt>
                <c:pt idx="6">
                  <c:v>18.13</c:v>
                </c:pt>
                <c:pt idx="7">
                  <c:v>18.600000000000001</c:v>
                </c:pt>
                <c:pt idx="8">
                  <c:v>30.69</c:v>
                </c:pt>
                <c:pt idx="9">
                  <c:v>30.69</c:v>
                </c:pt>
                <c:pt idx="10">
                  <c:v>28.37</c:v>
                </c:pt>
              </c:numCache>
            </c:numRef>
          </c:val>
          <c:extLst xmlns:c16r2="http://schemas.microsoft.com/office/drawing/2015/06/chart">
            <c:ext xmlns:c16="http://schemas.microsoft.com/office/drawing/2014/chart" uri="{C3380CC4-5D6E-409C-BE32-E72D297353CC}">
              <c16:uniqueId val="{00000000-989B-445B-A651-DC5B3C351C0A}"/>
            </c:ext>
          </c:extLst>
        </c:ser>
        <c:ser>
          <c:idx val="1"/>
          <c:order val="1"/>
          <c:tx>
            <c:strRef>
              <c:f>Sheet1!$C$1</c:f>
              <c:strCache>
                <c:ptCount val="1"/>
                <c:pt idx="0">
                  <c:v>2016. год</c:v>
                </c:pt>
              </c:strCache>
            </c:strRef>
          </c:tx>
          <c:spPr>
            <a:solidFill>
              <a:schemeClr val="accent2"/>
            </a:solidFill>
            <a:ln>
              <a:noFill/>
            </a:ln>
            <a:effectLst/>
          </c:spPr>
          <c:invertIfNegative val="0"/>
          <c:cat>
            <c:strRef>
              <c:f>Sheet1!$A$2:$A$12</c:f>
              <c:strCache>
                <c:ptCount val="11"/>
                <c:pt idx="0">
                  <c:v>Повреждение и / или уничтожение транспортного средства</c:v>
                </c:pt>
                <c:pt idx="1">
                  <c:v>Повреждение и / или уничтожение имущества</c:v>
                </c:pt>
                <c:pt idx="2">
                  <c:v>Повреждение и / или уничтожение дороги, дорожной техники, зданий</c:v>
                </c:pt>
                <c:pt idx="3">
                  <c:v>Вред окружающей среде</c:v>
                </c:pt>
                <c:pt idx="4">
                  <c:v>Издержки на лечение и реабилитацию</c:v>
                </c:pt>
                <c:pt idx="5">
                  <c:v>Проходящая неработоспособность</c:v>
                </c:pt>
                <c:pt idx="6">
                  <c:v>Пенсии для инвалидов и иждивенцев</c:v>
                </c:pt>
                <c:pt idx="7">
                  <c:v>Расходы на похороны</c:v>
                </c:pt>
                <c:pt idx="8">
                  <c:v>Нематериальные убытки в связи с травмой пострадавшей персоны</c:v>
                </c:pt>
                <c:pt idx="9">
                  <c:v>Нематериальные убытки в связи с увечьями и др. пострадавшей персоны</c:v>
                </c:pt>
                <c:pt idx="10">
                  <c:v>Нематериальные убытки, компенсируемые иждивенцам, супругам и пр. пострадавшей персоны</c:v>
                </c:pt>
              </c:strCache>
            </c:strRef>
          </c:cat>
          <c:val>
            <c:numRef>
              <c:f>Sheet1!$C$2:$C$12</c:f>
              <c:numCache>
                <c:formatCode>General</c:formatCode>
                <c:ptCount val="11"/>
                <c:pt idx="0">
                  <c:v>98.9</c:v>
                </c:pt>
                <c:pt idx="1">
                  <c:v>70.180000000000007</c:v>
                </c:pt>
                <c:pt idx="2">
                  <c:v>64</c:v>
                </c:pt>
                <c:pt idx="3">
                  <c:v>43.63</c:v>
                </c:pt>
                <c:pt idx="4">
                  <c:v>76.72</c:v>
                </c:pt>
                <c:pt idx="5">
                  <c:v>44.72</c:v>
                </c:pt>
                <c:pt idx="6">
                  <c:v>25.09</c:v>
                </c:pt>
                <c:pt idx="7">
                  <c:v>42.9</c:v>
                </c:pt>
                <c:pt idx="8">
                  <c:v>37.090000000000003</c:v>
                </c:pt>
                <c:pt idx="9">
                  <c:v>37.090000000000003</c:v>
                </c:pt>
                <c:pt idx="10">
                  <c:v>34.54</c:v>
                </c:pt>
              </c:numCache>
            </c:numRef>
          </c:val>
          <c:extLst xmlns:c16r2="http://schemas.microsoft.com/office/drawing/2015/06/chart">
            <c:ext xmlns:c16="http://schemas.microsoft.com/office/drawing/2014/chart" uri="{C3380CC4-5D6E-409C-BE32-E72D297353CC}">
              <c16:uniqueId val="{00000001-989B-445B-A651-DC5B3C351C0A}"/>
            </c:ext>
          </c:extLst>
        </c:ser>
        <c:dLbls>
          <c:showLegendKey val="0"/>
          <c:showVal val="0"/>
          <c:showCatName val="0"/>
          <c:showSerName val="0"/>
          <c:showPercent val="0"/>
          <c:showBubbleSize val="0"/>
        </c:dLbls>
        <c:gapWidth val="219"/>
        <c:overlap val="-27"/>
        <c:axId val="256147456"/>
        <c:axId val="143407872"/>
      </c:barChart>
      <c:catAx>
        <c:axId val="2561474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v-LV"/>
          </a:p>
        </c:txPr>
        <c:crossAx val="143407872"/>
        <c:crosses val="autoZero"/>
        <c:auto val="0"/>
        <c:lblAlgn val="ctr"/>
        <c:lblOffset val="100"/>
        <c:tickLblSkip val="1"/>
        <c:noMultiLvlLbl val="0"/>
      </c:catAx>
      <c:valAx>
        <c:axId val="14340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6147456"/>
        <c:crossesAt val="1"/>
        <c:crossBetween val="between"/>
      </c:valAx>
      <c:spPr>
        <a:noFill/>
        <a:ln>
          <a:noFill/>
        </a:ln>
        <a:effectLst/>
      </c:spPr>
    </c:plotArea>
    <c:legend>
      <c:legendPos val="b"/>
      <c:layout>
        <c:manualLayout>
          <c:xMode val="edge"/>
          <c:yMode val="edge"/>
          <c:x val="0.75322647169103873"/>
          <c:y val="0.16549807442294018"/>
          <c:w val="0.21576927884014499"/>
          <c:h val="5.25704614026050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9D37-CCC9-42C9-A7B0-7A9AEA28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1932</Words>
  <Characters>1102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2016-10-28T08:56:00Z</dcterms:created>
  <dcterms:modified xsi:type="dcterms:W3CDTF">2016-10-28T08:56:00Z</dcterms:modified>
</cp:coreProperties>
</file>