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14FBB" w14:textId="42722D86" w:rsidR="00E21F46" w:rsidRPr="00A37F10" w:rsidRDefault="00635C0E" w:rsidP="001655C5">
      <w:pPr>
        <w:spacing w:after="0" w:line="240" w:lineRule="auto"/>
        <w:jc w:val="right"/>
      </w:pPr>
      <w:r w:rsidRPr="00A37F10">
        <w:t>Informācija masu medijiem</w:t>
      </w:r>
    </w:p>
    <w:p w14:paraId="7CFC7E04" w14:textId="55E7F941" w:rsidR="00E21F46" w:rsidRPr="00A37F10" w:rsidRDefault="00635C0E" w:rsidP="001655C5">
      <w:pPr>
        <w:spacing w:after="0" w:line="240" w:lineRule="auto"/>
        <w:jc w:val="right"/>
      </w:pPr>
      <w:r w:rsidRPr="00A37F10">
        <w:t>2</w:t>
      </w:r>
      <w:r w:rsidR="00FE72FE" w:rsidRPr="00A37F10">
        <w:t>8</w:t>
      </w:r>
      <w:r w:rsidR="00BC5ABF" w:rsidRPr="00A37F10">
        <w:t>.</w:t>
      </w:r>
      <w:r w:rsidR="004C0D4E" w:rsidRPr="00A37F10">
        <w:t>10</w:t>
      </w:r>
      <w:r w:rsidR="00243E31" w:rsidRPr="00A37F10">
        <w:t>.2016</w:t>
      </w:r>
    </w:p>
    <w:p w14:paraId="7D7B4B6C" w14:textId="77777777" w:rsidR="00D47278" w:rsidRPr="00A37F10" w:rsidRDefault="00D47278" w:rsidP="001655C5">
      <w:pPr>
        <w:spacing w:after="0" w:line="240" w:lineRule="auto"/>
        <w:jc w:val="right"/>
      </w:pPr>
    </w:p>
    <w:p w14:paraId="7E0964B1" w14:textId="310C2CA9" w:rsidR="00BE2661" w:rsidRPr="00A37F10" w:rsidRDefault="00FE72FE" w:rsidP="001655C5">
      <w:pPr>
        <w:spacing w:after="0" w:line="240" w:lineRule="auto"/>
        <w:rPr>
          <w:b/>
          <w:sz w:val="26"/>
          <w:szCs w:val="26"/>
        </w:rPr>
      </w:pPr>
      <w:r w:rsidRPr="00A37F10">
        <w:rPr>
          <w:b/>
          <w:sz w:val="26"/>
          <w:szCs w:val="26"/>
        </w:rPr>
        <w:t>LTAB: vēl daudz darāmā, lai uzlabotu satiksmes dalībnieku zināšanas par OCTA atlīdzībām</w:t>
      </w:r>
    </w:p>
    <w:p w14:paraId="4968E13F" w14:textId="77777777" w:rsidR="0052615C" w:rsidRPr="00A37F10" w:rsidRDefault="0052615C" w:rsidP="001655C5">
      <w:pPr>
        <w:spacing w:after="0" w:line="240" w:lineRule="auto"/>
        <w:jc w:val="center"/>
        <w:rPr>
          <w:b/>
        </w:rPr>
      </w:pPr>
    </w:p>
    <w:p w14:paraId="0C50C1B4" w14:textId="1BAED1B2" w:rsidR="002E6ADF" w:rsidRPr="00A37F10" w:rsidRDefault="004C0D4E" w:rsidP="002E6ADF">
      <w:pPr>
        <w:spacing w:after="0" w:line="240" w:lineRule="auto"/>
        <w:jc w:val="both"/>
        <w:rPr>
          <w:b/>
        </w:rPr>
      </w:pPr>
      <w:bookmarkStart w:id="0" w:name="_GoBack"/>
      <w:r w:rsidRPr="00A37F10">
        <w:rPr>
          <w:b/>
        </w:rPr>
        <w:t>Noslēgusies</w:t>
      </w:r>
      <w:r w:rsidR="00635C0E" w:rsidRPr="00A37F10">
        <w:rPr>
          <w:b/>
        </w:rPr>
        <w:t xml:space="preserve"> Latvijas Transportlīdzekļu apdrošinātāju biroja (turpmāk – LTAB) organizētā kampaņa “Apdrošināts un vienā mierā!”</w:t>
      </w:r>
      <w:r w:rsidRPr="00A37F10">
        <w:rPr>
          <w:b/>
        </w:rPr>
        <w:t>*</w:t>
      </w:r>
      <w:r w:rsidR="00635C0E" w:rsidRPr="00A37F10">
        <w:rPr>
          <w:b/>
        </w:rPr>
        <w:t xml:space="preserve">, kuras mērķis </w:t>
      </w:r>
      <w:r w:rsidRPr="00A37F10">
        <w:rPr>
          <w:b/>
        </w:rPr>
        <w:t>bija</w:t>
      </w:r>
      <w:r w:rsidR="00635C0E" w:rsidRPr="00A37F10">
        <w:rPr>
          <w:b/>
        </w:rPr>
        <w:t xml:space="preserve"> pievērst ikviena satiksmes dalībnieka uzmanību OCTA atlīdzību jautājumiem.</w:t>
      </w:r>
      <w:r w:rsidRPr="00A37F10">
        <w:rPr>
          <w:b/>
        </w:rPr>
        <w:t xml:space="preserve"> </w:t>
      </w:r>
      <w:r w:rsidR="002E6ADF" w:rsidRPr="00A37F10">
        <w:rPr>
          <w:b/>
        </w:rPr>
        <w:t>“Kampaņas vēstījums, ko palīdzēja komunicēt Latvijā pazīstamais reperis Ozols, sasniedza daudzus satiksmes dalībniekus, kuri vēlējās uzzināt, kādi ir OCTA atlīdzību veidi, kā saņemt atlīdzības, kā arī noskaidrot citus jautājumus. To apliecina telefonzvani un ievērojamais kampaņas interneta vietnes apmeklējums,” stāsta LTAB valdes priekšsēdētājs Jānis Abāšins, piebilstot, ka LTAB un apdrošinātājiem vēl daudz jādara, lai uzlabotu satiksmes dalībnieku zināšanas par OCTA atlīdzībām.</w:t>
      </w:r>
    </w:p>
    <w:bookmarkEnd w:id="0"/>
    <w:p w14:paraId="7B095B10" w14:textId="77777777" w:rsidR="00635C0E" w:rsidRPr="00A37F10" w:rsidRDefault="00635C0E" w:rsidP="001655C5">
      <w:pPr>
        <w:spacing w:after="0" w:line="240" w:lineRule="auto"/>
        <w:jc w:val="both"/>
      </w:pPr>
    </w:p>
    <w:p w14:paraId="61BF1CF6" w14:textId="7BC6F243" w:rsidR="002E6ADF" w:rsidRPr="00A37F10" w:rsidRDefault="002E6ADF" w:rsidP="002E6ADF">
      <w:pPr>
        <w:spacing w:after="0" w:line="240" w:lineRule="auto"/>
        <w:jc w:val="both"/>
      </w:pPr>
      <w:r w:rsidRPr="00A37F10">
        <w:t>Lai skaidrotu kādus zaudējumus atlīdzina OCTA, LTAB septembra vidū uzsāka kampaņu “Apdrošināts un vienā mierā!”. Četru nedēļu garumā, sadarbībā ar populāro reperi Ozolu, medijos tika stāstīts par dažādiem OCTA zaudējumu veidiem, cietušo iespējām saņemt atlīdzības, kā arī niansēm, kas jāņem vērā, lai apdrošinātājam pieteiktu veselībai, transportlīdzeklim vai mantai radītos bojājumus.</w:t>
      </w:r>
    </w:p>
    <w:p w14:paraId="1A48FFEF" w14:textId="7D8F3695" w:rsidR="002E6ADF" w:rsidRPr="00A37F10" w:rsidRDefault="002E6ADF" w:rsidP="002E6ADF">
      <w:pPr>
        <w:spacing w:after="0" w:line="240" w:lineRule="auto"/>
        <w:jc w:val="both"/>
      </w:pPr>
    </w:p>
    <w:p w14:paraId="7A2DEC42" w14:textId="5EECF475" w:rsidR="002E6ADF" w:rsidRPr="00A37F10" w:rsidRDefault="002E6ADF" w:rsidP="002E6ADF">
      <w:pPr>
        <w:spacing w:after="0" w:line="240" w:lineRule="auto"/>
        <w:jc w:val="both"/>
      </w:pPr>
      <w:r w:rsidRPr="00A37F10">
        <w:t xml:space="preserve">Kampaņas noslēgumā LTAB veica aptauju, lai noskaidrotu satiksmes dalībnieku zināšanas par dažādiem OCTA atlīdzību veidiem. </w:t>
      </w:r>
      <w:r w:rsidR="00D833A9" w:rsidRPr="00A37F10">
        <w:t>Vairāk nekā puse aptaujāto prata nosaukt vismaz četrus zaudējumu veidus, ko kompensē OCTA apdrošināšana, kas ir neliels uzlabojums salīdzinot ar rezultātiem līdzīgā aptaujā pērn</w:t>
      </w:r>
      <w:r w:rsidR="00A37F10" w:rsidRPr="00A37F10">
        <w:t>. Tāpat uzlabojusies satiksmes dalībnieku informētība arī par visiem pārēji</w:t>
      </w:r>
      <w:r w:rsidR="00EF3239">
        <w:t>e</w:t>
      </w:r>
      <w:r w:rsidR="00A37F10" w:rsidRPr="00A37F10">
        <w:t>m OCTA atlīdzību veidiem</w:t>
      </w:r>
      <w:r w:rsidR="00D833A9" w:rsidRPr="00A37F10">
        <w:t xml:space="preserve"> </w:t>
      </w:r>
      <w:r w:rsidR="00A37F10">
        <w:t xml:space="preserve">(skat. rezultātus </w:t>
      </w:r>
      <w:r w:rsidR="00D833A9" w:rsidRPr="00A37F10">
        <w:t>zemāk esošajā diagrammā).</w:t>
      </w:r>
      <w:r w:rsidR="00A37F10" w:rsidRPr="00A37F10">
        <w:t xml:space="preserve"> </w:t>
      </w:r>
    </w:p>
    <w:p w14:paraId="4D4CCFC4" w14:textId="27CEB2AA" w:rsidR="002E6ADF" w:rsidRDefault="00A37F10" w:rsidP="00A37F10">
      <w:pPr>
        <w:spacing w:after="0" w:line="240" w:lineRule="auto"/>
        <w:jc w:val="center"/>
        <w:rPr>
          <w:sz w:val="24"/>
          <w:szCs w:val="24"/>
        </w:rPr>
      </w:pPr>
      <w:r>
        <w:rPr>
          <w:noProof/>
          <w:lang w:eastAsia="lv-LV"/>
        </w:rPr>
        <w:drawing>
          <wp:inline distT="0" distB="0" distL="0" distR="0" wp14:anchorId="3FA8FA27" wp14:editId="22E0AED9">
            <wp:extent cx="6679565" cy="3048000"/>
            <wp:effectExtent l="0" t="0" r="6985" b="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111B40-EA8B-4CC1-93B0-A25102C16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79F2F7" w14:textId="76292233" w:rsidR="005E74C5" w:rsidRPr="00A37F10" w:rsidRDefault="005E74C5" w:rsidP="001655C5">
      <w:pPr>
        <w:spacing w:after="0" w:line="240" w:lineRule="auto"/>
        <w:jc w:val="both"/>
      </w:pPr>
      <w:r w:rsidRPr="00A37F10">
        <w:t>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Vienna Insurance Group”, AAS “BTA Baltic Insurance Company”, “Compensa Vienna Insurance Group” UADB Latvijas filiāle, “ERGO Insurance” SE Latvijas filiāle, AAS “Gjensidige Baltic”, “If P&amp;C Insurance” AS Latvijas filiāle, “Seesam Insurance” AS Latvijas filiāle un “Swedbank P&amp;C Insurance” AS Latvijas filiāle.</w:t>
      </w:r>
    </w:p>
    <w:p w14:paraId="6D39FAEA" w14:textId="645BDFE9" w:rsidR="00E36F7D" w:rsidRPr="00A37F10" w:rsidRDefault="00E36F7D" w:rsidP="001655C5">
      <w:pPr>
        <w:spacing w:after="0" w:line="240" w:lineRule="auto"/>
        <w:jc w:val="both"/>
      </w:pPr>
    </w:p>
    <w:p w14:paraId="33A9E60E" w14:textId="47881FFE" w:rsidR="00E36F7D" w:rsidRPr="00A37F10" w:rsidRDefault="00E36F7D" w:rsidP="001655C5">
      <w:pPr>
        <w:spacing w:after="0" w:line="240" w:lineRule="auto"/>
        <w:jc w:val="both"/>
        <w:rPr>
          <w:i/>
          <w:sz w:val="16"/>
          <w:szCs w:val="16"/>
        </w:rPr>
      </w:pPr>
      <w:r w:rsidRPr="00A37F10">
        <w:rPr>
          <w:i/>
          <w:sz w:val="16"/>
          <w:szCs w:val="16"/>
        </w:rPr>
        <w:t>* Kampaņa tiek finansēta no ceļu satiksmes negadījumu novēršanas un profilakses konta līdzekļiem, kurus veido apdrošinātāju veiktās iemaksas no OCTA polisēm.</w:t>
      </w:r>
    </w:p>
    <w:p w14:paraId="308C351B" w14:textId="77777777" w:rsidR="008F0389" w:rsidRPr="00A37F10" w:rsidRDefault="008F0389" w:rsidP="001655C5">
      <w:pPr>
        <w:spacing w:after="0" w:line="240" w:lineRule="auto"/>
        <w:jc w:val="both"/>
      </w:pPr>
    </w:p>
    <w:p w14:paraId="303C4955" w14:textId="77777777" w:rsidR="00E21F46" w:rsidRPr="00A37F10" w:rsidRDefault="00E21F46" w:rsidP="001655C5">
      <w:pPr>
        <w:spacing w:after="0" w:line="240" w:lineRule="auto"/>
        <w:jc w:val="right"/>
      </w:pPr>
      <w:r w:rsidRPr="00A37F10">
        <w:lastRenderedPageBreak/>
        <w:t xml:space="preserve">Informāciju sagatavoja: </w:t>
      </w:r>
    </w:p>
    <w:p w14:paraId="13D6217E" w14:textId="77777777" w:rsidR="00E21F46" w:rsidRPr="00A37F10" w:rsidRDefault="00E21F46" w:rsidP="001655C5">
      <w:pPr>
        <w:spacing w:after="0" w:line="240" w:lineRule="auto"/>
        <w:jc w:val="right"/>
      </w:pPr>
      <w:r w:rsidRPr="00A37F10">
        <w:t>LTAB sabiedrisko attiecību konsultants</w:t>
      </w:r>
    </w:p>
    <w:p w14:paraId="18CF898F" w14:textId="77777777" w:rsidR="00E21F46" w:rsidRPr="00A37F10" w:rsidRDefault="00E21F46" w:rsidP="001655C5">
      <w:pPr>
        <w:spacing w:after="0" w:line="240" w:lineRule="auto"/>
        <w:jc w:val="right"/>
      </w:pPr>
      <w:r w:rsidRPr="00A37F10">
        <w:t>Gints Lazdiņš</w:t>
      </w:r>
    </w:p>
    <w:p w14:paraId="6CDD01EC" w14:textId="77777777" w:rsidR="00E21F46" w:rsidRPr="00A37F10" w:rsidRDefault="00E21F46" w:rsidP="001655C5">
      <w:pPr>
        <w:spacing w:after="0" w:line="240" w:lineRule="auto"/>
        <w:jc w:val="right"/>
      </w:pPr>
      <w:r w:rsidRPr="00A37F10">
        <w:t xml:space="preserve">Tālr: +371 29442282 </w:t>
      </w:r>
    </w:p>
    <w:p w14:paraId="759FA5CE" w14:textId="77777777" w:rsidR="00617E51" w:rsidRPr="00A37F10" w:rsidRDefault="00E21F46" w:rsidP="001655C5">
      <w:pPr>
        <w:spacing w:after="0" w:line="240" w:lineRule="auto"/>
        <w:jc w:val="right"/>
      </w:pPr>
      <w:r w:rsidRPr="00A37F10">
        <w:t xml:space="preserve">E-pasts: </w:t>
      </w:r>
      <w:r w:rsidR="0008728F" w:rsidRPr="00A37F10">
        <w:t>gints@olsen.lv</w:t>
      </w:r>
    </w:p>
    <w:p w14:paraId="3A3E453F" w14:textId="77777777" w:rsidR="00A37F10" w:rsidRPr="00A37F10" w:rsidRDefault="00A37F10">
      <w:pPr>
        <w:spacing w:after="0" w:line="240" w:lineRule="auto"/>
        <w:jc w:val="right"/>
      </w:pPr>
    </w:p>
    <w:sectPr w:rsidR="00A37F10" w:rsidRPr="00A37F10" w:rsidSect="00A37F10">
      <w:headerReference w:type="default" r:id="rId9"/>
      <w:footerReference w:type="default" r:id="rId10"/>
      <w:pgSz w:w="11906" w:h="16838"/>
      <w:pgMar w:top="851" w:right="707" w:bottom="709"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9161C" w14:textId="77777777" w:rsidR="00667642" w:rsidRDefault="00667642" w:rsidP="00C62AF7">
      <w:pPr>
        <w:spacing w:after="0" w:line="240" w:lineRule="auto"/>
      </w:pPr>
      <w:r>
        <w:separator/>
      </w:r>
    </w:p>
  </w:endnote>
  <w:endnote w:type="continuationSeparator" w:id="0">
    <w:p w14:paraId="629C366D" w14:textId="77777777" w:rsidR="00667642" w:rsidRDefault="00667642"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68EF" w14:textId="77777777" w:rsidR="003D5E60" w:rsidRDefault="003D5E60"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C4ADB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3D5E60" w:rsidRDefault="003D5E60" w:rsidP="00C62AF7">
    <w:pPr>
      <w:pStyle w:val="Footer"/>
      <w:jc w:val="center"/>
    </w:pPr>
    <w:r>
      <w:object w:dxaOrig="9042" w:dyaOrig="462"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19.5pt" o:ole="">
          <v:imagedata r:id="rId1" o:title=""/>
        </v:shape>
        <o:OLEObject Type="Embed" ProgID="CorelDraw.Graphic.17" ShapeID="_x0000_i1026" DrawAspect="Content" ObjectID="_1539160903" r:id="rId2"/>
      </w:object>
    </w:r>
  </w:p>
  <w:p w14:paraId="64F44FC1" w14:textId="77777777" w:rsidR="003D5E60" w:rsidRDefault="003D5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31941" w14:textId="77777777" w:rsidR="00667642" w:rsidRDefault="00667642" w:rsidP="00C62AF7">
      <w:pPr>
        <w:spacing w:after="0" w:line="240" w:lineRule="auto"/>
      </w:pPr>
      <w:r>
        <w:separator/>
      </w:r>
    </w:p>
  </w:footnote>
  <w:footnote w:type="continuationSeparator" w:id="0">
    <w:p w14:paraId="0B4A6F72" w14:textId="77777777" w:rsidR="00667642" w:rsidRDefault="00667642"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89879" w14:textId="77777777" w:rsidR="003D5E60" w:rsidRDefault="003D5E60">
    <w:pPr>
      <w:pStyle w:val="Header"/>
    </w:pPr>
    <w:r>
      <w:object w:dxaOrig="3027" w:dyaOrig="1080"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5.5pt" o:ole="">
          <v:imagedata r:id="rId1" o:title=""/>
        </v:shape>
        <o:OLEObject Type="Embed" ProgID="CorelDraw.Graphic.17" ShapeID="_x0000_i1025" DrawAspect="Content" ObjectID="_1539160902" r:id="rId2"/>
      </w:object>
    </w:r>
  </w:p>
  <w:p w14:paraId="40EE4661" w14:textId="77777777" w:rsidR="003D5E60" w:rsidRDefault="003D5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6599"/>
    <w:rsid w:val="00010508"/>
    <w:rsid w:val="00010EF9"/>
    <w:rsid w:val="000125F1"/>
    <w:rsid w:val="00013C1F"/>
    <w:rsid w:val="00016695"/>
    <w:rsid w:val="000176BE"/>
    <w:rsid w:val="00021833"/>
    <w:rsid w:val="00022C67"/>
    <w:rsid w:val="000533E0"/>
    <w:rsid w:val="00073403"/>
    <w:rsid w:val="000745BC"/>
    <w:rsid w:val="0008728F"/>
    <w:rsid w:val="00093197"/>
    <w:rsid w:val="000A3E9D"/>
    <w:rsid w:val="000B297C"/>
    <w:rsid w:val="000C172C"/>
    <w:rsid w:val="000D007C"/>
    <w:rsid w:val="000D5F6E"/>
    <w:rsid w:val="000F0C20"/>
    <w:rsid w:val="000F34C5"/>
    <w:rsid w:val="000F368A"/>
    <w:rsid w:val="000F74EB"/>
    <w:rsid w:val="00103B45"/>
    <w:rsid w:val="00110F4A"/>
    <w:rsid w:val="00135E74"/>
    <w:rsid w:val="001431F7"/>
    <w:rsid w:val="001445EC"/>
    <w:rsid w:val="00145203"/>
    <w:rsid w:val="00153B22"/>
    <w:rsid w:val="00155CE3"/>
    <w:rsid w:val="001655C5"/>
    <w:rsid w:val="00171015"/>
    <w:rsid w:val="00181E1E"/>
    <w:rsid w:val="00187964"/>
    <w:rsid w:val="001A4E17"/>
    <w:rsid w:val="001C65E0"/>
    <w:rsid w:val="001C7747"/>
    <w:rsid w:val="001D3B28"/>
    <w:rsid w:val="001D6AEF"/>
    <w:rsid w:val="001E39A7"/>
    <w:rsid w:val="001E57C6"/>
    <w:rsid w:val="002016E8"/>
    <w:rsid w:val="00205130"/>
    <w:rsid w:val="00217E8A"/>
    <w:rsid w:val="00221376"/>
    <w:rsid w:val="002253F8"/>
    <w:rsid w:val="002436EF"/>
    <w:rsid w:val="00243E31"/>
    <w:rsid w:val="00253CFD"/>
    <w:rsid w:val="00263392"/>
    <w:rsid w:val="002727E1"/>
    <w:rsid w:val="0027402E"/>
    <w:rsid w:val="00292BF3"/>
    <w:rsid w:val="00296055"/>
    <w:rsid w:val="002A38DE"/>
    <w:rsid w:val="002A52FD"/>
    <w:rsid w:val="002B2FAD"/>
    <w:rsid w:val="002B58F6"/>
    <w:rsid w:val="002C2CEA"/>
    <w:rsid w:val="002D32B8"/>
    <w:rsid w:val="002D5F23"/>
    <w:rsid w:val="002E6ADF"/>
    <w:rsid w:val="002F4D1A"/>
    <w:rsid w:val="003007EF"/>
    <w:rsid w:val="003024C6"/>
    <w:rsid w:val="00312824"/>
    <w:rsid w:val="003300CB"/>
    <w:rsid w:val="00330359"/>
    <w:rsid w:val="00334D2A"/>
    <w:rsid w:val="00335A08"/>
    <w:rsid w:val="00340007"/>
    <w:rsid w:val="00346FDE"/>
    <w:rsid w:val="00357F64"/>
    <w:rsid w:val="00363907"/>
    <w:rsid w:val="00384B18"/>
    <w:rsid w:val="003A520B"/>
    <w:rsid w:val="003A6799"/>
    <w:rsid w:val="003B2D0B"/>
    <w:rsid w:val="003D14B9"/>
    <w:rsid w:val="003D5E60"/>
    <w:rsid w:val="003E02A4"/>
    <w:rsid w:val="003F10BB"/>
    <w:rsid w:val="00403AB9"/>
    <w:rsid w:val="00431C3C"/>
    <w:rsid w:val="00436DF9"/>
    <w:rsid w:val="0044242E"/>
    <w:rsid w:val="0046691C"/>
    <w:rsid w:val="00471AE6"/>
    <w:rsid w:val="00474AAB"/>
    <w:rsid w:val="00475A9E"/>
    <w:rsid w:val="00480545"/>
    <w:rsid w:val="00480708"/>
    <w:rsid w:val="004813D9"/>
    <w:rsid w:val="00486439"/>
    <w:rsid w:val="004A620B"/>
    <w:rsid w:val="004C0D4E"/>
    <w:rsid w:val="004C32E0"/>
    <w:rsid w:val="004E29C1"/>
    <w:rsid w:val="004F1A8A"/>
    <w:rsid w:val="00506CDA"/>
    <w:rsid w:val="005133BE"/>
    <w:rsid w:val="00520799"/>
    <w:rsid w:val="0052615C"/>
    <w:rsid w:val="005315DA"/>
    <w:rsid w:val="005342F8"/>
    <w:rsid w:val="00540C5C"/>
    <w:rsid w:val="005512E1"/>
    <w:rsid w:val="00557F5F"/>
    <w:rsid w:val="00567862"/>
    <w:rsid w:val="005818DE"/>
    <w:rsid w:val="005821A4"/>
    <w:rsid w:val="00586C84"/>
    <w:rsid w:val="00590ADB"/>
    <w:rsid w:val="00593CD2"/>
    <w:rsid w:val="005B0F55"/>
    <w:rsid w:val="005E2F32"/>
    <w:rsid w:val="005E69F5"/>
    <w:rsid w:val="005E74C5"/>
    <w:rsid w:val="005F795A"/>
    <w:rsid w:val="00600EC3"/>
    <w:rsid w:val="00602385"/>
    <w:rsid w:val="00610DEE"/>
    <w:rsid w:val="00617E51"/>
    <w:rsid w:val="00635C0E"/>
    <w:rsid w:val="0065233F"/>
    <w:rsid w:val="006610B2"/>
    <w:rsid w:val="00662FED"/>
    <w:rsid w:val="00667642"/>
    <w:rsid w:val="00692C75"/>
    <w:rsid w:val="0069576E"/>
    <w:rsid w:val="0069593A"/>
    <w:rsid w:val="00696583"/>
    <w:rsid w:val="006A2F27"/>
    <w:rsid w:val="006B23F4"/>
    <w:rsid w:val="006E1375"/>
    <w:rsid w:val="006E2859"/>
    <w:rsid w:val="006E75CA"/>
    <w:rsid w:val="006F7771"/>
    <w:rsid w:val="00702BAE"/>
    <w:rsid w:val="0070551C"/>
    <w:rsid w:val="00706A24"/>
    <w:rsid w:val="0071485D"/>
    <w:rsid w:val="00716B13"/>
    <w:rsid w:val="0072195C"/>
    <w:rsid w:val="00723F31"/>
    <w:rsid w:val="00760E54"/>
    <w:rsid w:val="007643E2"/>
    <w:rsid w:val="00771902"/>
    <w:rsid w:val="007914A5"/>
    <w:rsid w:val="007972A2"/>
    <w:rsid w:val="007A15FB"/>
    <w:rsid w:val="007A4BC7"/>
    <w:rsid w:val="007C4FE5"/>
    <w:rsid w:val="007E495C"/>
    <w:rsid w:val="007F0EA4"/>
    <w:rsid w:val="00807C77"/>
    <w:rsid w:val="008114B8"/>
    <w:rsid w:val="00813660"/>
    <w:rsid w:val="00815229"/>
    <w:rsid w:val="00815B2E"/>
    <w:rsid w:val="00815D1D"/>
    <w:rsid w:val="0082244A"/>
    <w:rsid w:val="00824F40"/>
    <w:rsid w:val="008278BE"/>
    <w:rsid w:val="00835431"/>
    <w:rsid w:val="00851736"/>
    <w:rsid w:val="00855E8D"/>
    <w:rsid w:val="00862629"/>
    <w:rsid w:val="008662D7"/>
    <w:rsid w:val="00870228"/>
    <w:rsid w:val="00881B76"/>
    <w:rsid w:val="0089695F"/>
    <w:rsid w:val="008B0A81"/>
    <w:rsid w:val="008B4A14"/>
    <w:rsid w:val="008B4D9C"/>
    <w:rsid w:val="008C1095"/>
    <w:rsid w:val="008E5DAE"/>
    <w:rsid w:val="008F0389"/>
    <w:rsid w:val="00951598"/>
    <w:rsid w:val="00952D27"/>
    <w:rsid w:val="009605DD"/>
    <w:rsid w:val="00963EDA"/>
    <w:rsid w:val="00964DE9"/>
    <w:rsid w:val="0097040E"/>
    <w:rsid w:val="009722A2"/>
    <w:rsid w:val="00973D97"/>
    <w:rsid w:val="009766DA"/>
    <w:rsid w:val="00982ED0"/>
    <w:rsid w:val="00987FC2"/>
    <w:rsid w:val="00997167"/>
    <w:rsid w:val="009A0549"/>
    <w:rsid w:val="009A1C36"/>
    <w:rsid w:val="009A7699"/>
    <w:rsid w:val="009B1390"/>
    <w:rsid w:val="009C15A3"/>
    <w:rsid w:val="009E3749"/>
    <w:rsid w:val="009E5290"/>
    <w:rsid w:val="009E6BE6"/>
    <w:rsid w:val="009E6C0C"/>
    <w:rsid w:val="009F00F4"/>
    <w:rsid w:val="009F2745"/>
    <w:rsid w:val="009F3F6D"/>
    <w:rsid w:val="009F6448"/>
    <w:rsid w:val="00A04656"/>
    <w:rsid w:val="00A0799C"/>
    <w:rsid w:val="00A116AE"/>
    <w:rsid w:val="00A122A4"/>
    <w:rsid w:val="00A16567"/>
    <w:rsid w:val="00A205C8"/>
    <w:rsid w:val="00A223A5"/>
    <w:rsid w:val="00A35D22"/>
    <w:rsid w:val="00A37F10"/>
    <w:rsid w:val="00A432B5"/>
    <w:rsid w:val="00A44678"/>
    <w:rsid w:val="00A47265"/>
    <w:rsid w:val="00A55EF7"/>
    <w:rsid w:val="00A60FC0"/>
    <w:rsid w:val="00A81560"/>
    <w:rsid w:val="00A83369"/>
    <w:rsid w:val="00A96BE5"/>
    <w:rsid w:val="00AA11DB"/>
    <w:rsid w:val="00AA6FAA"/>
    <w:rsid w:val="00AA7440"/>
    <w:rsid w:val="00AC65EB"/>
    <w:rsid w:val="00AD2745"/>
    <w:rsid w:val="00AE1616"/>
    <w:rsid w:val="00AE3928"/>
    <w:rsid w:val="00AE64A4"/>
    <w:rsid w:val="00AF37D7"/>
    <w:rsid w:val="00B07890"/>
    <w:rsid w:val="00B119E0"/>
    <w:rsid w:val="00B1596B"/>
    <w:rsid w:val="00B31BA0"/>
    <w:rsid w:val="00B3531C"/>
    <w:rsid w:val="00B36D93"/>
    <w:rsid w:val="00B42503"/>
    <w:rsid w:val="00B60D1B"/>
    <w:rsid w:val="00B64801"/>
    <w:rsid w:val="00B676BB"/>
    <w:rsid w:val="00B81049"/>
    <w:rsid w:val="00B87EDB"/>
    <w:rsid w:val="00B91E90"/>
    <w:rsid w:val="00B9675D"/>
    <w:rsid w:val="00BA2861"/>
    <w:rsid w:val="00BB74A3"/>
    <w:rsid w:val="00BB784E"/>
    <w:rsid w:val="00BC5ABF"/>
    <w:rsid w:val="00BC6C58"/>
    <w:rsid w:val="00BC78D6"/>
    <w:rsid w:val="00BD4AB8"/>
    <w:rsid w:val="00BE2661"/>
    <w:rsid w:val="00BF6846"/>
    <w:rsid w:val="00C12FDC"/>
    <w:rsid w:val="00C31EDD"/>
    <w:rsid w:val="00C564F5"/>
    <w:rsid w:val="00C60E3C"/>
    <w:rsid w:val="00C62AF7"/>
    <w:rsid w:val="00C72D5E"/>
    <w:rsid w:val="00C80E9A"/>
    <w:rsid w:val="00C96D29"/>
    <w:rsid w:val="00CA09A9"/>
    <w:rsid w:val="00CA7715"/>
    <w:rsid w:val="00CB16A5"/>
    <w:rsid w:val="00CC1D83"/>
    <w:rsid w:val="00CC5D3D"/>
    <w:rsid w:val="00CD34C3"/>
    <w:rsid w:val="00CE08AD"/>
    <w:rsid w:val="00CE351B"/>
    <w:rsid w:val="00CF066A"/>
    <w:rsid w:val="00CF0EBE"/>
    <w:rsid w:val="00CF4995"/>
    <w:rsid w:val="00D05A63"/>
    <w:rsid w:val="00D22BAC"/>
    <w:rsid w:val="00D2373F"/>
    <w:rsid w:val="00D356F9"/>
    <w:rsid w:val="00D43AA0"/>
    <w:rsid w:val="00D45228"/>
    <w:rsid w:val="00D46CFC"/>
    <w:rsid w:val="00D47278"/>
    <w:rsid w:val="00D50B29"/>
    <w:rsid w:val="00D678AC"/>
    <w:rsid w:val="00D833A9"/>
    <w:rsid w:val="00DC04DD"/>
    <w:rsid w:val="00DD4A99"/>
    <w:rsid w:val="00DD5129"/>
    <w:rsid w:val="00DD55D3"/>
    <w:rsid w:val="00DD6EEA"/>
    <w:rsid w:val="00DF2A30"/>
    <w:rsid w:val="00DF2CBA"/>
    <w:rsid w:val="00E05691"/>
    <w:rsid w:val="00E21F46"/>
    <w:rsid w:val="00E220B7"/>
    <w:rsid w:val="00E23A71"/>
    <w:rsid w:val="00E36F7D"/>
    <w:rsid w:val="00E71961"/>
    <w:rsid w:val="00E730A3"/>
    <w:rsid w:val="00E81DEE"/>
    <w:rsid w:val="00E8391D"/>
    <w:rsid w:val="00E84B81"/>
    <w:rsid w:val="00E85A86"/>
    <w:rsid w:val="00E9038F"/>
    <w:rsid w:val="00E919F5"/>
    <w:rsid w:val="00E91AD3"/>
    <w:rsid w:val="00EA7467"/>
    <w:rsid w:val="00EB5C8A"/>
    <w:rsid w:val="00EC201D"/>
    <w:rsid w:val="00ED02AA"/>
    <w:rsid w:val="00ED7258"/>
    <w:rsid w:val="00EE10B2"/>
    <w:rsid w:val="00EE1601"/>
    <w:rsid w:val="00EE6343"/>
    <w:rsid w:val="00EF3239"/>
    <w:rsid w:val="00EF327D"/>
    <w:rsid w:val="00EF403E"/>
    <w:rsid w:val="00F0118C"/>
    <w:rsid w:val="00F016E9"/>
    <w:rsid w:val="00F05887"/>
    <w:rsid w:val="00F060C4"/>
    <w:rsid w:val="00F12A8F"/>
    <w:rsid w:val="00F12EC7"/>
    <w:rsid w:val="00F2284B"/>
    <w:rsid w:val="00F3262F"/>
    <w:rsid w:val="00F70D38"/>
    <w:rsid w:val="00F72968"/>
    <w:rsid w:val="00F83526"/>
    <w:rsid w:val="00FA3342"/>
    <w:rsid w:val="00FD315A"/>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sz="1200" baseline="0"/>
              <a:t>Kurus no šiem zaudējumu veidiem, Jūsuprāt, kompensē apdrošinātājs? </a:t>
            </a:r>
            <a:r>
              <a:rPr lang="lv-LV" sz="1200" baseline="0"/>
              <a:t>(procentuāli informēto respondentu skaits no visiem aptaujātajiem)</a:t>
            </a:r>
            <a:endParaRPr lang="en-GB" sz="1200" baseline="0"/>
          </a:p>
        </c:rich>
      </c:tx>
      <c:overlay val="0"/>
      <c:spPr>
        <a:noFill/>
        <a:ln>
          <a:noFill/>
        </a:ln>
        <a:effectLst/>
      </c:spPr>
    </c:title>
    <c:autoTitleDeleted val="0"/>
    <c:plotArea>
      <c:layout/>
      <c:barChart>
        <c:barDir val="col"/>
        <c:grouping val="clustered"/>
        <c:varyColors val="0"/>
        <c:ser>
          <c:idx val="0"/>
          <c:order val="0"/>
          <c:tx>
            <c:strRef>
              <c:f>Sheet1!$B$2</c:f>
              <c:strCache>
                <c:ptCount val="1"/>
                <c:pt idx="0">
                  <c:v>2015.gads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Sheet1!$A$3:$A$13</c:f>
              <c:strCache>
                <c:ptCount val="11"/>
                <c:pt idx="0">
                  <c:v>Transportlīdzekļa bojājumi un/vai bojāeja</c:v>
                </c:pt>
                <c:pt idx="1">
                  <c:v>Mantas bojājumi un/vai bojāeja</c:v>
                </c:pt>
                <c:pt idx="2">
                  <c:v>Ceļa, ceļa būvju, ēku bojājumi, bojāeja</c:v>
                </c:pt>
                <c:pt idx="3">
                  <c:v>Kaitējums videi</c:v>
                </c:pt>
                <c:pt idx="4">
                  <c:v>Ārstēšanās un rehabilitācijas izmaksas</c:v>
                </c:pt>
                <c:pt idx="5">
                  <c:v>Pārejoša darbnespēja personai</c:v>
                </c:pt>
                <c:pt idx="6">
                  <c:v>Pensijas invalīdiem un apgādājamiem</c:v>
                </c:pt>
                <c:pt idx="7">
                  <c:v>Apbedīšanas izdevumi</c:v>
                </c:pt>
                <c:pt idx="8">
                  <c:v>Nemateriālie zaudējumi par cietušās personas fizisku traumu</c:v>
                </c:pt>
                <c:pt idx="9">
                  <c:v>Nemateriālie zaudējumi par cietušās personas sakropļojumu, invaliditāti</c:v>
                </c:pt>
                <c:pt idx="10">
                  <c:v>Nemateriālie zaudējumi par apgādnieka, apgādājamā, laulātā nāvi</c:v>
                </c:pt>
              </c:strCache>
            </c:strRef>
          </c:cat>
          <c:val>
            <c:numRef>
              <c:f>Sheet1!$B$3:$B$13</c:f>
              <c:numCache>
                <c:formatCode>General</c:formatCode>
                <c:ptCount val="11"/>
                <c:pt idx="0">
                  <c:v>96.28</c:v>
                </c:pt>
                <c:pt idx="1">
                  <c:v>66.05</c:v>
                </c:pt>
                <c:pt idx="2">
                  <c:v>48.09</c:v>
                </c:pt>
                <c:pt idx="3">
                  <c:v>31.16</c:v>
                </c:pt>
                <c:pt idx="4">
                  <c:v>65.58</c:v>
                </c:pt>
                <c:pt idx="5">
                  <c:v>31.16</c:v>
                </c:pt>
                <c:pt idx="6">
                  <c:v>18.13</c:v>
                </c:pt>
                <c:pt idx="7">
                  <c:v>18.600000000000001</c:v>
                </c:pt>
                <c:pt idx="8">
                  <c:v>30.69</c:v>
                </c:pt>
                <c:pt idx="9">
                  <c:v>30.69</c:v>
                </c:pt>
                <c:pt idx="10">
                  <c:v>28.37</c:v>
                </c:pt>
              </c:numCache>
            </c:numRef>
          </c:val>
          <c:extLst xmlns:c16r2="http://schemas.microsoft.com/office/drawing/2015/06/chart">
            <c:ext xmlns:c16="http://schemas.microsoft.com/office/drawing/2014/chart" uri="{C3380CC4-5D6E-409C-BE32-E72D297353CC}">
              <c16:uniqueId val="{00000000-7EA6-4ECA-BE90-330D425D5FF1}"/>
            </c:ext>
          </c:extLst>
        </c:ser>
        <c:ser>
          <c:idx val="1"/>
          <c:order val="1"/>
          <c:tx>
            <c:strRef>
              <c:f>Sheet1!$C$2</c:f>
              <c:strCache>
                <c:ptCount val="1"/>
                <c:pt idx="0">
                  <c:v>2016.gads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Sheet1!$A$3:$A$13</c:f>
              <c:strCache>
                <c:ptCount val="11"/>
                <c:pt idx="0">
                  <c:v>Transportlīdzekļa bojājumi un/vai bojāeja</c:v>
                </c:pt>
                <c:pt idx="1">
                  <c:v>Mantas bojājumi un/vai bojāeja</c:v>
                </c:pt>
                <c:pt idx="2">
                  <c:v>Ceļa, ceļa būvju, ēku bojājumi, bojāeja</c:v>
                </c:pt>
                <c:pt idx="3">
                  <c:v>Kaitējums videi</c:v>
                </c:pt>
                <c:pt idx="4">
                  <c:v>Ārstēšanās un rehabilitācijas izmaksas</c:v>
                </c:pt>
                <c:pt idx="5">
                  <c:v>Pārejoša darbnespēja personai</c:v>
                </c:pt>
                <c:pt idx="6">
                  <c:v>Pensijas invalīdiem un apgādājamiem</c:v>
                </c:pt>
                <c:pt idx="7">
                  <c:v>Apbedīšanas izdevumi</c:v>
                </c:pt>
                <c:pt idx="8">
                  <c:v>Nemateriālie zaudējumi par cietušās personas fizisku traumu</c:v>
                </c:pt>
                <c:pt idx="9">
                  <c:v>Nemateriālie zaudējumi par cietušās personas sakropļojumu, invaliditāti</c:v>
                </c:pt>
                <c:pt idx="10">
                  <c:v>Nemateriālie zaudējumi par apgādnieka, apgādājamā, laulātā nāvi</c:v>
                </c:pt>
              </c:strCache>
            </c:strRef>
          </c:cat>
          <c:val>
            <c:numRef>
              <c:f>Sheet1!$C$3:$C$13</c:f>
              <c:numCache>
                <c:formatCode>General</c:formatCode>
                <c:ptCount val="11"/>
                <c:pt idx="0">
                  <c:v>98.9</c:v>
                </c:pt>
                <c:pt idx="1">
                  <c:v>70.180000000000007</c:v>
                </c:pt>
                <c:pt idx="2">
                  <c:v>64</c:v>
                </c:pt>
                <c:pt idx="3">
                  <c:v>43.63</c:v>
                </c:pt>
                <c:pt idx="4">
                  <c:v>76.72</c:v>
                </c:pt>
                <c:pt idx="5">
                  <c:v>44.72</c:v>
                </c:pt>
                <c:pt idx="6">
                  <c:v>25.09</c:v>
                </c:pt>
                <c:pt idx="7">
                  <c:v>42.9</c:v>
                </c:pt>
                <c:pt idx="8">
                  <c:v>37.090000000000003</c:v>
                </c:pt>
                <c:pt idx="9">
                  <c:v>37.090000000000003</c:v>
                </c:pt>
                <c:pt idx="10">
                  <c:v>34.54</c:v>
                </c:pt>
              </c:numCache>
            </c:numRef>
          </c:val>
          <c:extLst xmlns:c16r2="http://schemas.microsoft.com/office/drawing/2015/06/chart">
            <c:ext xmlns:c16="http://schemas.microsoft.com/office/drawing/2014/chart" uri="{C3380CC4-5D6E-409C-BE32-E72D297353CC}">
              <c16:uniqueId val="{00000001-7EA6-4ECA-BE90-330D425D5FF1}"/>
            </c:ext>
          </c:extLst>
        </c:ser>
        <c:dLbls>
          <c:showLegendKey val="0"/>
          <c:showVal val="0"/>
          <c:showCatName val="0"/>
          <c:showSerName val="0"/>
          <c:showPercent val="0"/>
          <c:showBubbleSize val="0"/>
        </c:dLbls>
        <c:gapWidth val="100"/>
        <c:overlap val="-24"/>
        <c:axId val="254681088"/>
        <c:axId val="254081216"/>
      </c:barChart>
      <c:catAx>
        <c:axId val="2546810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2"/>
                </a:solidFill>
                <a:latin typeface="+mn-lt"/>
                <a:ea typeface="+mn-ea"/>
                <a:cs typeface="+mn-cs"/>
              </a:defRPr>
            </a:pPr>
            <a:endParaRPr lang="lv-LV"/>
          </a:p>
        </c:txPr>
        <c:crossAx val="254081216"/>
        <c:crosses val="autoZero"/>
        <c:auto val="1"/>
        <c:lblAlgn val="ctr"/>
        <c:lblOffset val="100"/>
        <c:noMultiLvlLbl val="0"/>
      </c:catAx>
      <c:valAx>
        <c:axId val="254081216"/>
        <c:scaling>
          <c:orientation val="minMax"/>
          <c:max val="10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5468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2F35-946C-43EA-8BF0-BDAED3DB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1699</Words>
  <Characters>969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2016-10-28T08:55:00Z</dcterms:created>
  <dcterms:modified xsi:type="dcterms:W3CDTF">2016-10-28T08:55:00Z</dcterms:modified>
</cp:coreProperties>
</file>