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77777777" w:rsidR="00B44512" w:rsidRPr="003328A9" w:rsidRDefault="00B44512" w:rsidP="005E4497">
      <w:pPr>
        <w:spacing w:after="0" w:line="240" w:lineRule="auto"/>
        <w:jc w:val="right"/>
        <w:rPr>
          <w:b/>
          <w:lang w:val="lv-LV"/>
        </w:rPr>
      </w:pPr>
      <w:r w:rsidRPr="003328A9">
        <w:rPr>
          <w:b/>
          <w:lang w:val="lv-LV"/>
        </w:rPr>
        <w:t>Paziņojums masu medijiem</w:t>
      </w:r>
    </w:p>
    <w:p w14:paraId="50188D1F" w14:textId="437D178C" w:rsidR="00B44512" w:rsidRDefault="00161030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22</w:t>
      </w:r>
      <w:r w:rsidR="00631AB1">
        <w:rPr>
          <w:b/>
          <w:lang w:val="lv-LV"/>
        </w:rPr>
        <w:t>.06</w:t>
      </w:r>
      <w:r w:rsidR="00857716">
        <w:rPr>
          <w:b/>
          <w:lang w:val="lv-LV"/>
        </w:rPr>
        <w:t>.2016</w:t>
      </w:r>
      <w:r w:rsidR="00B44512" w:rsidRPr="003328A9">
        <w:rPr>
          <w:b/>
          <w:lang w:val="lv-LV"/>
        </w:rPr>
        <w:t>.</w:t>
      </w:r>
    </w:p>
    <w:p w14:paraId="596E6553" w14:textId="77777777" w:rsidR="00042A1B" w:rsidRPr="00031F20" w:rsidRDefault="00042A1B" w:rsidP="00B44512">
      <w:pPr>
        <w:spacing w:after="0" w:line="240" w:lineRule="auto"/>
        <w:jc w:val="right"/>
        <w:rPr>
          <w:b/>
          <w:lang w:val="lv-LV"/>
        </w:rPr>
      </w:pPr>
    </w:p>
    <w:p w14:paraId="51B1F33C" w14:textId="73D77538" w:rsidR="00BE1606" w:rsidRPr="00920F6F" w:rsidRDefault="00161030" w:rsidP="00B367B9">
      <w:pPr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Pēdējos piecos gados Līgas un Jāņi atlīdzībās saņēmuši vairāk nekā 3 milj. EUR</w:t>
      </w:r>
    </w:p>
    <w:p w14:paraId="075F23D8" w14:textId="7E8E578F" w:rsidR="00E50E08" w:rsidRPr="00031F20" w:rsidRDefault="00161030" w:rsidP="00717F4C">
      <w:pPr>
        <w:jc w:val="both"/>
        <w:rPr>
          <w:b/>
          <w:lang w:val="lv-LV"/>
        </w:rPr>
      </w:pPr>
      <w:bookmarkStart w:id="0" w:name="_GoBack"/>
      <w:r>
        <w:rPr>
          <w:b/>
          <w:lang w:val="lv-LV"/>
        </w:rPr>
        <w:t>Pēdējos piecos gados (2011. – 2015.) Līgas un Jāņi apdrošināšanas atlīdzībās par CSNg nodarītajiem zaudējumiem</w:t>
      </w:r>
      <w:r w:rsidR="00C72BE2">
        <w:rPr>
          <w:b/>
          <w:lang w:val="lv-LV"/>
        </w:rPr>
        <w:t>, tajā skaitā braucot meklēt papardes ziedu,</w:t>
      </w:r>
      <w:r>
        <w:rPr>
          <w:b/>
          <w:lang w:val="lv-LV"/>
        </w:rPr>
        <w:t xml:space="preserve"> saņēmuši  3,04 milj. EUR. Lauvas tiesa, jeb gandrīz 89% atlīdzības izmaksātas Jāņiem, kas skaidrojams ar to, ka </w:t>
      </w:r>
      <w:r w:rsidR="00D71739">
        <w:rPr>
          <w:b/>
          <w:lang w:val="lv-LV"/>
        </w:rPr>
        <w:t xml:space="preserve">uz </w:t>
      </w:r>
      <w:r w:rsidR="00631AF6">
        <w:rPr>
          <w:b/>
          <w:lang w:val="lv-LV"/>
        </w:rPr>
        <w:t>Līgu</w:t>
      </w:r>
      <w:r w:rsidR="00D71739">
        <w:rPr>
          <w:b/>
          <w:lang w:val="lv-LV"/>
        </w:rPr>
        <w:t xml:space="preserve"> vārda reģistrēts mazāk transportlīdzekļu</w:t>
      </w:r>
      <w:r w:rsidR="00727D19">
        <w:rPr>
          <w:b/>
          <w:lang w:val="lv-LV"/>
        </w:rPr>
        <w:t>,</w:t>
      </w:r>
      <w:r w:rsidR="00E50E08">
        <w:rPr>
          <w:b/>
          <w:lang w:val="lv-LV"/>
        </w:rPr>
        <w:t xml:space="preserve"> </w:t>
      </w:r>
      <w:r w:rsidR="00C72BE2">
        <w:rPr>
          <w:b/>
          <w:lang w:val="lv-LV"/>
        </w:rPr>
        <w:t>informē</w:t>
      </w:r>
      <w:r w:rsidR="00E50E08">
        <w:rPr>
          <w:b/>
          <w:lang w:val="lv-LV"/>
        </w:rPr>
        <w:t xml:space="preserve"> Latvijas Transportlīdzekļu apdrošinātāju biroja (turpmāk – LTAB) valdes priekšēdētājs Jānis Abāšins.</w:t>
      </w:r>
    </w:p>
    <w:bookmarkEnd w:id="0"/>
    <w:p w14:paraId="171EE781" w14:textId="79F758BE" w:rsidR="006B5931" w:rsidRDefault="00FA03D2" w:rsidP="00256127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Vislielākais Jāņiem izmaksāto atlīdzību īpatsvars bijis 2014.gadā (0,66 milj. EUR), bet Līgām – pērn (0,08 milj. EUR)</w:t>
      </w:r>
      <w:r w:rsidRPr="00FA03D2">
        <w:rPr>
          <w:lang w:val="lv-LV"/>
        </w:rPr>
        <w:t xml:space="preserve">. </w:t>
      </w:r>
      <w:r>
        <w:rPr>
          <w:lang w:val="lv-LV"/>
        </w:rPr>
        <w:t xml:space="preserve">“Jāatzīmē, ka atlīdzību apjomi, kas izmaksāti Jāņiem un Līgām, </w:t>
      </w:r>
      <w:r w:rsidR="00D71739">
        <w:rPr>
          <w:lang w:val="lv-LV"/>
        </w:rPr>
        <w:t xml:space="preserve">pēdējos gados ir pieauguši. Tā Līgas pērn atlīdzībās saņēmušas gandrīz divkārt vairāk, bet Jāņi – </w:t>
      </w:r>
      <w:r w:rsidR="00AF2E30" w:rsidRPr="00AF2E30">
        <w:rPr>
          <w:lang w:val="lv-LV"/>
        </w:rPr>
        <w:t>par aptuveni 2</w:t>
      </w:r>
      <w:r w:rsidR="00D71739" w:rsidRPr="00AF2E30">
        <w:rPr>
          <w:lang w:val="lv-LV"/>
        </w:rPr>
        <w:t>0% vairāk</w:t>
      </w:r>
      <w:r w:rsidR="00D71739">
        <w:rPr>
          <w:lang w:val="lv-LV"/>
        </w:rPr>
        <w:t xml:space="preserve"> nekā pirms pie</w:t>
      </w:r>
      <w:r w:rsidR="007A004B">
        <w:rPr>
          <w:lang w:val="lv-LV"/>
        </w:rPr>
        <w:t>ciem gadiem,” informē J.Abāšins.</w:t>
      </w:r>
      <w:r w:rsidR="00D71739">
        <w:rPr>
          <w:lang w:val="lv-LV"/>
        </w:rPr>
        <w:t xml:space="preserve"> </w:t>
      </w:r>
      <w:r w:rsidR="007A004B">
        <w:rPr>
          <w:lang w:val="lv-LV"/>
        </w:rPr>
        <w:t>Viņš piebilst, ka šoreiz tas gan nav saistīts ar maģisko spēku, ko sevī iemieso abi vārdi, bet kopējo tendenci</w:t>
      </w:r>
      <w:r w:rsidR="00D71739">
        <w:rPr>
          <w:lang w:val="lv-LV"/>
        </w:rPr>
        <w:t xml:space="preserve"> OCTA apdrošināšanas nozarē</w:t>
      </w:r>
      <w:r w:rsidR="007A004B">
        <w:rPr>
          <w:lang w:val="lv-LV"/>
        </w:rPr>
        <w:t>, kas</w:t>
      </w:r>
      <w:r w:rsidR="00D71739">
        <w:rPr>
          <w:lang w:val="lv-LV"/>
        </w:rPr>
        <w:t xml:space="preserve"> rāda, ka atlīdzību īpatsvars pēdējo piecu gadu laikā pieaudzis par </w:t>
      </w:r>
      <w:r w:rsidR="00D71739" w:rsidRPr="00AF2E30">
        <w:rPr>
          <w:lang w:val="lv-LV"/>
        </w:rPr>
        <w:t>aptuveni 30%.</w:t>
      </w:r>
    </w:p>
    <w:p w14:paraId="661B6D94" w14:textId="77777777" w:rsidR="007A004B" w:rsidRDefault="007A004B" w:rsidP="00256127">
      <w:pPr>
        <w:spacing w:after="0" w:line="240" w:lineRule="auto"/>
        <w:jc w:val="both"/>
        <w:rPr>
          <w:lang w:val="lv-LV"/>
        </w:rPr>
      </w:pPr>
    </w:p>
    <w:p w14:paraId="3B8B5B38" w14:textId="6B41EB0C" w:rsidR="007A004B" w:rsidRPr="00AF2E30" w:rsidRDefault="007A004B" w:rsidP="00256127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LTAB valdes priekšsēdētājs novēl Jāņiem, Līgām un visiem līgotājiem siltus, saulainus un jautrības pilnus svētkus: “Lai ikviens transportlīdzekļa vadītājs nokļūst savā galamērķī bez sastrēgumiem un nelaimes gadījumiem,” vēl J.Abāšins.</w:t>
      </w:r>
    </w:p>
    <w:p w14:paraId="481655AD" w14:textId="77777777" w:rsidR="000F0001" w:rsidRPr="00AF2E30" w:rsidRDefault="000F0001" w:rsidP="00256127">
      <w:pPr>
        <w:spacing w:after="0" w:line="240" w:lineRule="auto"/>
        <w:jc w:val="both"/>
        <w:rPr>
          <w:lang w:val="lv-LV"/>
        </w:rPr>
      </w:pPr>
    </w:p>
    <w:p w14:paraId="7416A347" w14:textId="60A16F43" w:rsidR="009561E2" w:rsidRDefault="00C72BE2" w:rsidP="00256127">
      <w:pPr>
        <w:spacing w:after="0" w:line="240" w:lineRule="auto"/>
        <w:jc w:val="both"/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CC789A1" wp14:editId="2A8070A7">
            <wp:extent cx="6070600" cy="1498600"/>
            <wp:effectExtent l="0" t="0" r="6350" b="63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1FE03E" w14:textId="77777777" w:rsidR="00C72BE2" w:rsidRDefault="00C72BE2" w:rsidP="00256127">
      <w:pPr>
        <w:spacing w:after="0" w:line="240" w:lineRule="auto"/>
        <w:jc w:val="both"/>
        <w:rPr>
          <w:lang w:val="lv-LV"/>
        </w:rPr>
      </w:pPr>
    </w:p>
    <w:p w14:paraId="2CEA7873" w14:textId="0D31568E" w:rsidR="00C72BE2" w:rsidRDefault="00C72BE2" w:rsidP="00256127">
      <w:pPr>
        <w:spacing w:after="0" w:line="240" w:lineRule="auto"/>
        <w:jc w:val="both"/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38D23D8F" wp14:editId="492BEC10">
            <wp:extent cx="6108700" cy="1587500"/>
            <wp:effectExtent l="0" t="0" r="635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1BAA05" w14:textId="77777777" w:rsidR="00C72BE2" w:rsidRDefault="00C72BE2" w:rsidP="00256127">
      <w:pPr>
        <w:spacing w:after="0" w:line="240" w:lineRule="auto"/>
        <w:jc w:val="both"/>
        <w:rPr>
          <w:lang w:val="lv-LV"/>
        </w:rPr>
      </w:pPr>
    </w:p>
    <w:p w14:paraId="3EF22F09" w14:textId="216EF29B" w:rsidR="00C65CB9" w:rsidRDefault="00C65CB9" w:rsidP="00256127">
      <w:pPr>
        <w:spacing w:after="0" w:line="240" w:lineRule="auto"/>
        <w:jc w:val="both"/>
        <w:rPr>
          <w:lang w:val="lv-LV"/>
        </w:rPr>
      </w:pPr>
      <w:r w:rsidRPr="00631AF6">
        <w:rPr>
          <w:lang w:val="lv-LV"/>
        </w:rPr>
        <w:t>1997.</w:t>
      </w:r>
      <w:r w:rsidR="00682E74" w:rsidRPr="00631AF6">
        <w:rPr>
          <w:lang w:val="lv-LV"/>
        </w:rPr>
        <w:t xml:space="preserve"> </w:t>
      </w:r>
      <w:r w:rsidRPr="00631AF6">
        <w:rPr>
          <w:lang w:val="lv-LV"/>
        </w:rPr>
        <w:t xml:space="preserve">gadā Latvijā tika ieviesta OCTA sistēma, kuras mērķis ir nodrošināt ceļu satiksmes negadījumā cietušo trešo personu interešu aizsardzību Latvijā un Zaļās kartes dalībvalstīs. </w:t>
      </w:r>
      <w:r w:rsidR="00256127" w:rsidRPr="00631AF6">
        <w:rPr>
          <w:lang w:val="lv-LV"/>
        </w:rPr>
        <w:t xml:space="preserve">Sistēmas sekmīgākai darbības nodrošināšanai ir izveidots </w:t>
      </w:r>
      <w:r w:rsidRPr="00631AF6">
        <w:rPr>
          <w:lang w:val="lv-LV"/>
        </w:rPr>
        <w:t xml:space="preserve">LTAB, </w:t>
      </w:r>
      <w:r w:rsidR="00256127" w:rsidRPr="00631AF6">
        <w:rPr>
          <w:lang w:val="lv-LV"/>
        </w:rPr>
        <w:t xml:space="preserve">kurā </w:t>
      </w:r>
      <w:r w:rsidRPr="00631AF6">
        <w:rPr>
          <w:lang w:val="lv-LV"/>
        </w:rPr>
        <w:t xml:space="preserve">apvienojušās apdrošināšanas sabiedrības, kurām ir tiesības veikt </w:t>
      </w:r>
      <w:r w:rsidR="00256127" w:rsidRPr="00631AF6">
        <w:rPr>
          <w:lang w:val="lv-LV"/>
        </w:rPr>
        <w:t>OCTA</w:t>
      </w:r>
      <w:r w:rsidRPr="00631AF6">
        <w:rPr>
          <w:lang w:val="lv-LV"/>
        </w:rPr>
        <w:t xml:space="preserve"> apdrošināšanu Latvijā</w:t>
      </w:r>
      <w:r w:rsidR="00256127" w:rsidRPr="00631AF6">
        <w:rPr>
          <w:lang w:val="lv-LV"/>
        </w:rPr>
        <w:t xml:space="preserve"> – AAS “Balta”, AAS “Baltijas Apdrošināšanas Nams”, AAS “Baltikums Vienna Insurance Group”, AAS “BTA Baltic Insurance Company”, “Compensa Vienna Insurance Group” UADB </w:t>
      </w:r>
      <w:r w:rsidR="00256127" w:rsidRPr="00631AF6">
        <w:rPr>
          <w:lang w:val="lv-LV"/>
        </w:rPr>
        <w:lastRenderedPageBreak/>
        <w:t>Latvijas filiāle, “ERGO Insurance” SE Latvijas filiāle, AAS “Gjensidige Baltic”, “If P&amp;C Insurance” AS Latvijas filiāle, “Seesam Insurance” AS Latvijas filiāle</w:t>
      </w:r>
      <w:r w:rsidR="00CC3C43" w:rsidRPr="00631AF6">
        <w:rPr>
          <w:lang w:val="lv-LV"/>
        </w:rPr>
        <w:t xml:space="preserve"> un </w:t>
      </w:r>
      <w:r w:rsidR="00256127" w:rsidRPr="00631AF6">
        <w:rPr>
          <w:lang w:val="lv-LV"/>
        </w:rPr>
        <w:t>“Swedbank P&amp;C Insurance” AS Latvijas filiāle</w:t>
      </w:r>
      <w:r w:rsidR="00CC3C43" w:rsidRPr="00631AF6">
        <w:rPr>
          <w:lang w:val="lv-LV"/>
        </w:rPr>
        <w:t>.</w:t>
      </w:r>
    </w:p>
    <w:p w14:paraId="363D3D13" w14:textId="77777777" w:rsidR="006C3376" w:rsidRDefault="006C3376" w:rsidP="006C3376">
      <w:pPr>
        <w:spacing w:after="0" w:line="240" w:lineRule="auto"/>
        <w:rPr>
          <w:sz w:val="20"/>
          <w:szCs w:val="20"/>
          <w:lang w:val="lv-LV"/>
        </w:rPr>
      </w:pPr>
    </w:p>
    <w:p w14:paraId="35F67807" w14:textId="2479F941" w:rsidR="00E22A84" w:rsidRPr="003472AE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Papildus informācija</w:t>
      </w:r>
    </w:p>
    <w:p w14:paraId="53B6EBA5" w14:textId="77777777" w:rsidR="00AF2E30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LTAB sabiedrisko attiecību konsultants</w:t>
      </w:r>
      <w:r w:rsidR="000F0001">
        <w:rPr>
          <w:rFonts w:cs="Times New Roman"/>
          <w:bCs/>
          <w:i/>
          <w:sz w:val="20"/>
          <w:szCs w:val="20"/>
          <w:lang w:val="lv-LV"/>
        </w:rPr>
        <w:t xml:space="preserve"> </w:t>
      </w:r>
    </w:p>
    <w:p w14:paraId="5AA21BB5" w14:textId="2B7B08BC" w:rsidR="00E22A84" w:rsidRPr="003472AE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Gints Lazdiņš</w:t>
      </w:r>
    </w:p>
    <w:p w14:paraId="19DF0C2C" w14:textId="51C9FF89" w:rsidR="0013146B" w:rsidRPr="0013146B" w:rsidRDefault="00E22A84" w:rsidP="00C72BE2">
      <w:pPr>
        <w:spacing w:after="0" w:line="240" w:lineRule="auto"/>
        <w:jc w:val="right"/>
        <w:rPr>
          <w:sz w:val="20"/>
          <w:szCs w:val="20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Tālr: +371 29442282, E-</w:t>
      </w:r>
      <w:r w:rsidRPr="003472AE">
        <w:rPr>
          <w:rFonts w:cs="Times New Roman"/>
          <w:bCs/>
          <w:i/>
          <w:sz w:val="20"/>
          <w:szCs w:val="20"/>
        </w:rPr>
        <w:t xml:space="preserve">pasts: </w:t>
      </w:r>
      <w:hyperlink r:id="rId10" w:history="1">
        <w:r w:rsidR="0013146B" w:rsidRPr="006B3B8C">
          <w:rPr>
            <w:rStyle w:val="Hyperlink"/>
            <w:rFonts w:cs="Times New Roman"/>
            <w:bCs/>
            <w:i/>
            <w:sz w:val="20"/>
            <w:szCs w:val="20"/>
          </w:rPr>
          <w:t>gints@olsen.lv</w:t>
        </w:r>
      </w:hyperlink>
    </w:p>
    <w:sectPr w:rsidR="0013146B" w:rsidRPr="0013146B" w:rsidSect="00C2008E">
      <w:headerReference w:type="default" r:id="rId11"/>
      <w:footerReference w:type="default" r:id="rId12"/>
      <w:pgSz w:w="11906" w:h="16838"/>
      <w:pgMar w:top="1440" w:right="1133" w:bottom="1276" w:left="1134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ED125" w14:textId="77777777" w:rsidR="006A2CEF" w:rsidRDefault="006A2CEF" w:rsidP="00C62AF7">
      <w:pPr>
        <w:spacing w:after="0" w:line="240" w:lineRule="auto"/>
      </w:pPr>
      <w:r>
        <w:separator/>
      </w:r>
    </w:p>
  </w:endnote>
  <w:endnote w:type="continuationSeparator" w:id="0">
    <w:p w14:paraId="08815D9D" w14:textId="77777777" w:rsidR="006A2CEF" w:rsidRDefault="006A2CEF" w:rsidP="00C62AF7">
      <w:pPr>
        <w:spacing w:after="0" w:line="240" w:lineRule="auto"/>
      </w:pPr>
      <w:r>
        <w:continuationSeparator/>
      </w:r>
    </w:p>
  </w:endnote>
  <w:endnote w:type="continuationNotice" w:id="1">
    <w:p w14:paraId="67B965EF" w14:textId="77777777" w:rsidR="006A2CEF" w:rsidRDefault="006A2C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2C144D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6.25pt;height:18.75pt" o:ole="">
          <v:imagedata r:id="rId1" o:title=""/>
        </v:shape>
        <o:OLEObject Type="Embed" ProgID="CorelDraw.Graphic.17" ShapeID="_x0000_i1026" DrawAspect="Content" ObjectID="_1528108598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63E20" w14:textId="77777777" w:rsidR="006A2CEF" w:rsidRDefault="006A2CEF" w:rsidP="00C62AF7">
      <w:pPr>
        <w:spacing w:after="0" w:line="240" w:lineRule="auto"/>
      </w:pPr>
      <w:r>
        <w:separator/>
      </w:r>
    </w:p>
  </w:footnote>
  <w:footnote w:type="continuationSeparator" w:id="0">
    <w:p w14:paraId="446504AA" w14:textId="77777777" w:rsidR="006A2CEF" w:rsidRDefault="006A2CEF" w:rsidP="00C62AF7">
      <w:pPr>
        <w:spacing w:after="0" w:line="240" w:lineRule="auto"/>
      </w:pPr>
      <w:r>
        <w:continuationSeparator/>
      </w:r>
    </w:p>
  </w:footnote>
  <w:footnote w:type="continuationNotice" w:id="1">
    <w:p w14:paraId="6DD970E7" w14:textId="77777777" w:rsidR="006A2CEF" w:rsidRDefault="006A2C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ACC04" w14:textId="35ECD055" w:rsidR="007C78FE" w:rsidRDefault="007C78FE">
    <w:pPr>
      <w:pStyle w:val="Header"/>
    </w:pPr>
  </w:p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25pt;height:56.25pt" o:ole="">
          <v:imagedata r:id="rId1" o:title=""/>
        </v:shape>
        <o:OLEObject Type="Embed" ProgID="CorelDraw.Graphic.17" ShapeID="_x0000_i1025" DrawAspect="Content" ObjectID="_1528108597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13A3"/>
    <w:rsid w:val="00003652"/>
    <w:rsid w:val="0000382A"/>
    <w:rsid w:val="000041B0"/>
    <w:rsid w:val="0000798F"/>
    <w:rsid w:val="0003095B"/>
    <w:rsid w:val="00031B96"/>
    <w:rsid w:val="00031F20"/>
    <w:rsid w:val="00032071"/>
    <w:rsid w:val="00033965"/>
    <w:rsid w:val="00034426"/>
    <w:rsid w:val="00040AE8"/>
    <w:rsid w:val="00042A1B"/>
    <w:rsid w:val="00051859"/>
    <w:rsid w:val="000533E0"/>
    <w:rsid w:val="00057EA6"/>
    <w:rsid w:val="0006685F"/>
    <w:rsid w:val="00070C9E"/>
    <w:rsid w:val="000847FE"/>
    <w:rsid w:val="00091DE0"/>
    <w:rsid w:val="00093FF3"/>
    <w:rsid w:val="00095A98"/>
    <w:rsid w:val="000A22E0"/>
    <w:rsid w:val="000A4639"/>
    <w:rsid w:val="000B2B16"/>
    <w:rsid w:val="000B5642"/>
    <w:rsid w:val="000C06FE"/>
    <w:rsid w:val="000C0786"/>
    <w:rsid w:val="000D0D3C"/>
    <w:rsid w:val="000D1C9B"/>
    <w:rsid w:val="000D2A57"/>
    <w:rsid w:val="000D3097"/>
    <w:rsid w:val="000F0001"/>
    <w:rsid w:val="000F4FC5"/>
    <w:rsid w:val="000F5106"/>
    <w:rsid w:val="001029A0"/>
    <w:rsid w:val="00103B45"/>
    <w:rsid w:val="00104DBB"/>
    <w:rsid w:val="001071B7"/>
    <w:rsid w:val="0012264C"/>
    <w:rsid w:val="00126876"/>
    <w:rsid w:val="0013146B"/>
    <w:rsid w:val="00131772"/>
    <w:rsid w:val="001331AD"/>
    <w:rsid w:val="0013589D"/>
    <w:rsid w:val="00137591"/>
    <w:rsid w:val="00143485"/>
    <w:rsid w:val="00144B7F"/>
    <w:rsid w:val="00152DD5"/>
    <w:rsid w:val="00155780"/>
    <w:rsid w:val="00157DD1"/>
    <w:rsid w:val="00161030"/>
    <w:rsid w:val="00170916"/>
    <w:rsid w:val="00171015"/>
    <w:rsid w:val="00181352"/>
    <w:rsid w:val="001A0DF5"/>
    <w:rsid w:val="001A181E"/>
    <w:rsid w:val="001A5528"/>
    <w:rsid w:val="001B2061"/>
    <w:rsid w:val="001B6EE9"/>
    <w:rsid w:val="001C65E0"/>
    <w:rsid w:val="001D09BD"/>
    <w:rsid w:val="001D3B28"/>
    <w:rsid w:val="001D6AEF"/>
    <w:rsid w:val="001E57C6"/>
    <w:rsid w:val="00202620"/>
    <w:rsid w:val="00214B20"/>
    <w:rsid w:val="00221376"/>
    <w:rsid w:val="00221595"/>
    <w:rsid w:val="00224321"/>
    <w:rsid w:val="00234C33"/>
    <w:rsid w:val="00235794"/>
    <w:rsid w:val="00256127"/>
    <w:rsid w:val="0025641A"/>
    <w:rsid w:val="00257D3F"/>
    <w:rsid w:val="0027402E"/>
    <w:rsid w:val="0027756B"/>
    <w:rsid w:val="00282A5A"/>
    <w:rsid w:val="00282F67"/>
    <w:rsid w:val="002857F0"/>
    <w:rsid w:val="00286061"/>
    <w:rsid w:val="0029047C"/>
    <w:rsid w:val="00295433"/>
    <w:rsid w:val="00297163"/>
    <w:rsid w:val="002A10E7"/>
    <w:rsid w:val="002A1269"/>
    <w:rsid w:val="002A2DC8"/>
    <w:rsid w:val="002C0464"/>
    <w:rsid w:val="002C07F5"/>
    <w:rsid w:val="002D452E"/>
    <w:rsid w:val="002D5F23"/>
    <w:rsid w:val="002F0F77"/>
    <w:rsid w:val="0030458B"/>
    <w:rsid w:val="003079C2"/>
    <w:rsid w:val="00307AF2"/>
    <w:rsid w:val="00322690"/>
    <w:rsid w:val="00324D9C"/>
    <w:rsid w:val="003328A9"/>
    <w:rsid w:val="003353F6"/>
    <w:rsid w:val="003355E4"/>
    <w:rsid w:val="00337C26"/>
    <w:rsid w:val="00340E8E"/>
    <w:rsid w:val="003439F8"/>
    <w:rsid w:val="003472AE"/>
    <w:rsid w:val="003653B1"/>
    <w:rsid w:val="003662A8"/>
    <w:rsid w:val="0036768B"/>
    <w:rsid w:val="00377DFC"/>
    <w:rsid w:val="00387404"/>
    <w:rsid w:val="003C05F7"/>
    <w:rsid w:val="003C0636"/>
    <w:rsid w:val="003C0A9F"/>
    <w:rsid w:val="003D14B9"/>
    <w:rsid w:val="003D627E"/>
    <w:rsid w:val="003D6848"/>
    <w:rsid w:val="003D70EC"/>
    <w:rsid w:val="003E1FC8"/>
    <w:rsid w:val="003E3ED9"/>
    <w:rsid w:val="003F3E0D"/>
    <w:rsid w:val="00400753"/>
    <w:rsid w:val="0040248C"/>
    <w:rsid w:val="00403035"/>
    <w:rsid w:val="00403AB9"/>
    <w:rsid w:val="004152B0"/>
    <w:rsid w:val="00416BAC"/>
    <w:rsid w:val="004231DF"/>
    <w:rsid w:val="00423962"/>
    <w:rsid w:val="00424330"/>
    <w:rsid w:val="00436B41"/>
    <w:rsid w:val="00441893"/>
    <w:rsid w:val="0045112B"/>
    <w:rsid w:val="00453C4A"/>
    <w:rsid w:val="00453FCE"/>
    <w:rsid w:val="00455F80"/>
    <w:rsid w:val="00462BA7"/>
    <w:rsid w:val="004647F2"/>
    <w:rsid w:val="004660D8"/>
    <w:rsid w:val="0047532F"/>
    <w:rsid w:val="0047674A"/>
    <w:rsid w:val="00480144"/>
    <w:rsid w:val="00481423"/>
    <w:rsid w:val="00483023"/>
    <w:rsid w:val="00484AAC"/>
    <w:rsid w:val="00497EFD"/>
    <w:rsid w:val="004B2074"/>
    <w:rsid w:val="004B2221"/>
    <w:rsid w:val="004B7D60"/>
    <w:rsid w:val="004C32E0"/>
    <w:rsid w:val="004C66AB"/>
    <w:rsid w:val="004D366B"/>
    <w:rsid w:val="004D497B"/>
    <w:rsid w:val="004D517B"/>
    <w:rsid w:val="004D6211"/>
    <w:rsid w:val="004F0C08"/>
    <w:rsid w:val="004F3819"/>
    <w:rsid w:val="004F39A9"/>
    <w:rsid w:val="004F7596"/>
    <w:rsid w:val="00506CDA"/>
    <w:rsid w:val="00512411"/>
    <w:rsid w:val="00520799"/>
    <w:rsid w:val="00521237"/>
    <w:rsid w:val="0053256E"/>
    <w:rsid w:val="00544009"/>
    <w:rsid w:val="0054769C"/>
    <w:rsid w:val="00547718"/>
    <w:rsid w:val="00555C93"/>
    <w:rsid w:val="00555CA2"/>
    <w:rsid w:val="00572082"/>
    <w:rsid w:val="0058067D"/>
    <w:rsid w:val="005842C4"/>
    <w:rsid w:val="00590ADB"/>
    <w:rsid w:val="005914DF"/>
    <w:rsid w:val="00591549"/>
    <w:rsid w:val="005919C4"/>
    <w:rsid w:val="0059276F"/>
    <w:rsid w:val="005A30D1"/>
    <w:rsid w:val="005A48A2"/>
    <w:rsid w:val="005A4CDE"/>
    <w:rsid w:val="005A7BE7"/>
    <w:rsid w:val="005B0056"/>
    <w:rsid w:val="005B0300"/>
    <w:rsid w:val="005B0F55"/>
    <w:rsid w:val="005B38AA"/>
    <w:rsid w:val="005B7FBD"/>
    <w:rsid w:val="005C0437"/>
    <w:rsid w:val="005D0EAA"/>
    <w:rsid w:val="005D10B6"/>
    <w:rsid w:val="005E1850"/>
    <w:rsid w:val="005E4096"/>
    <w:rsid w:val="005E4497"/>
    <w:rsid w:val="005E64A1"/>
    <w:rsid w:val="005E69F5"/>
    <w:rsid w:val="005F56B1"/>
    <w:rsid w:val="006039B0"/>
    <w:rsid w:val="0061382B"/>
    <w:rsid w:val="0061697E"/>
    <w:rsid w:val="00617A1C"/>
    <w:rsid w:val="00617E51"/>
    <w:rsid w:val="00631AB1"/>
    <w:rsid w:val="00631AF6"/>
    <w:rsid w:val="00646632"/>
    <w:rsid w:val="00647776"/>
    <w:rsid w:val="00660ED0"/>
    <w:rsid w:val="00661B1B"/>
    <w:rsid w:val="00682E74"/>
    <w:rsid w:val="00682EDE"/>
    <w:rsid w:val="00684421"/>
    <w:rsid w:val="00695420"/>
    <w:rsid w:val="00695BC6"/>
    <w:rsid w:val="00696F47"/>
    <w:rsid w:val="006A2CEF"/>
    <w:rsid w:val="006A5358"/>
    <w:rsid w:val="006B5931"/>
    <w:rsid w:val="006B7209"/>
    <w:rsid w:val="006C3376"/>
    <w:rsid w:val="006D07C2"/>
    <w:rsid w:val="006E3B65"/>
    <w:rsid w:val="006E75CA"/>
    <w:rsid w:val="00717F4C"/>
    <w:rsid w:val="007270BA"/>
    <w:rsid w:val="00727D19"/>
    <w:rsid w:val="00733850"/>
    <w:rsid w:val="00740BCB"/>
    <w:rsid w:val="00742A87"/>
    <w:rsid w:val="00751698"/>
    <w:rsid w:val="0075189F"/>
    <w:rsid w:val="00753BB7"/>
    <w:rsid w:val="0075427D"/>
    <w:rsid w:val="007602E9"/>
    <w:rsid w:val="0077408B"/>
    <w:rsid w:val="007865F0"/>
    <w:rsid w:val="007945D6"/>
    <w:rsid w:val="00796E1D"/>
    <w:rsid w:val="007A004B"/>
    <w:rsid w:val="007A55E8"/>
    <w:rsid w:val="007B39C1"/>
    <w:rsid w:val="007B4581"/>
    <w:rsid w:val="007B58F9"/>
    <w:rsid w:val="007C56F9"/>
    <w:rsid w:val="007C78FE"/>
    <w:rsid w:val="007D3905"/>
    <w:rsid w:val="00801A6E"/>
    <w:rsid w:val="008037BF"/>
    <w:rsid w:val="008175EC"/>
    <w:rsid w:val="008219D6"/>
    <w:rsid w:val="008278BE"/>
    <w:rsid w:val="0083007F"/>
    <w:rsid w:val="00836BDC"/>
    <w:rsid w:val="008406D3"/>
    <w:rsid w:val="00841331"/>
    <w:rsid w:val="00847685"/>
    <w:rsid w:val="00857716"/>
    <w:rsid w:val="00863F28"/>
    <w:rsid w:val="00864951"/>
    <w:rsid w:val="008712EA"/>
    <w:rsid w:val="00881B76"/>
    <w:rsid w:val="00883DFF"/>
    <w:rsid w:val="0088773F"/>
    <w:rsid w:val="00895546"/>
    <w:rsid w:val="008A0573"/>
    <w:rsid w:val="008A1996"/>
    <w:rsid w:val="008A2822"/>
    <w:rsid w:val="008A3676"/>
    <w:rsid w:val="008A39B5"/>
    <w:rsid w:val="008A460D"/>
    <w:rsid w:val="008B0947"/>
    <w:rsid w:val="008B1281"/>
    <w:rsid w:val="008C2224"/>
    <w:rsid w:val="008C244C"/>
    <w:rsid w:val="008C54EA"/>
    <w:rsid w:val="008D195A"/>
    <w:rsid w:val="008D5D15"/>
    <w:rsid w:val="008E57EE"/>
    <w:rsid w:val="008F3EE4"/>
    <w:rsid w:val="008F5F45"/>
    <w:rsid w:val="00910678"/>
    <w:rsid w:val="00916F70"/>
    <w:rsid w:val="00920F6F"/>
    <w:rsid w:val="00950993"/>
    <w:rsid w:val="0095482C"/>
    <w:rsid w:val="009561E2"/>
    <w:rsid w:val="00960BB9"/>
    <w:rsid w:val="00964DE9"/>
    <w:rsid w:val="0097040E"/>
    <w:rsid w:val="00971E34"/>
    <w:rsid w:val="009722A2"/>
    <w:rsid w:val="009733BB"/>
    <w:rsid w:val="00973D97"/>
    <w:rsid w:val="0097410D"/>
    <w:rsid w:val="00975B7D"/>
    <w:rsid w:val="00984BEE"/>
    <w:rsid w:val="00994996"/>
    <w:rsid w:val="00994B4F"/>
    <w:rsid w:val="0099708E"/>
    <w:rsid w:val="009B0C91"/>
    <w:rsid w:val="009B4AE8"/>
    <w:rsid w:val="009B5D19"/>
    <w:rsid w:val="009C520F"/>
    <w:rsid w:val="009C7EB9"/>
    <w:rsid w:val="009D3EE4"/>
    <w:rsid w:val="009E2DFF"/>
    <w:rsid w:val="009E2E5A"/>
    <w:rsid w:val="009E3CC3"/>
    <w:rsid w:val="009F12BD"/>
    <w:rsid w:val="009F7A32"/>
    <w:rsid w:val="00A03295"/>
    <w:rsid w:val="00A11F47"/>
    <w:rsid w:val="00A122A4"/>
    <w:rsid w:val="00A171D4"/>
    <w:rsid w:val="00A233AD"/>
    <w:rsid w:val="00A24B52"/>
    <w:rsid w:val="00A2756F"/>
    <w:rsid w:val="00A31AAD"/>
    <w:rsid w:val="00A42D27"/>
    <w:rsid w:val="00A44EEC"/>
    <w:rsid w:val="00A47748"/>
    <w:rsid w:val="00A5342F"/>
    <w:rsid w:val="00A61E87"/>
    <w:rsid w:val="00A732BE"/>
    <w:rsid w:val="00A733C0"/>
    <w:rsid w:val="00A92E75"/>
    <w:rsid w:val="00A935B3"/>
    <w:rsid w:val="00AA11DB"/>
    <w:rsid w:val="00AA28A7"/>
    <w:rsid w:val="00AB233A"/>
    <w:rsid w:val="00AB630B"/>
    <w:rsid w:val="00AC34E8"/>
    <w:rsid w:val="00AC7029"/>
    <w:rsid w:val="00AD0FE3"/>
    <w:rsid w:val="00AD501F"/>
    <w:rsid w:val="00AD74F1"/>
    <w:rsid w:val="00AE1616"/>
    <w:rsid w:val="00AE2CEB"/>
    <w:rsid w:val="00AE3928"/>
    <w:rsid w:val="00AE7678"/>
    <w:rsid w:val="00AF2E30"/>
    <w:rsid w:val="00B011DC"/>
    <w:rsid w:val="00B015D2"/>
    <w:rsid w:val="00B053B8"/>
    <w:rsid w:val="00B20CCF"/>
    <w:rsid w:val="00B21E21"/>
    <w:rsid w:val="00B27FA1"/>
    <w:rsid w:val="00B31BA0"/>
    <w:rsid w:val="00B367B9"/>
    <w:rsid w:val="00B369BD"/>
    <w:rsid w:val="00B44512"/>
    <w:rsid w:val="00B45E8F"/>
    <w:rsid w:val="00B51D5C"/>
    <w:rsid w:val="00B556ED"/>
    <w:rsid w:val="00B60EA6"/>
    <w:rsid w:val="00B61B45"/>
    <w:rsid w:val="00B7109E"/>
    <w:rsid w:val="00B7162E"/>
    <w:rsid w:val="00B71D64"/>
    <w:rsid w:val="00B917CF"/>
    <w:rsid w:val="00B9468D"/>
    <w:rsid w:val="00BB52D9"/>
    <w:rsid w:val="00BB784E"/>
    <w:rsid w:val="00BC3AFA"/>
    <w:rsid w:val="00BC6C58"/>
    <w:rsid w:val="00BD2DCE"/>
    <w:rsid w:val="00BE083C"/>
    <w:rsid w:val="00BE1320"/>
    <w:rsid w:val="00BE1606"/>
    <w:rsid w:val="00BE62E5"/>
    <w:rsid w:val="00BE66D5"/>
    <w:rsid w:val="00BF1FAC"/>
    <w:rsid w:val="00C00701"/>
    <w:rsid w:val="00C02116"/>
    <w:rsid w:val="00C03176"/>
    <w:rsid w:val="00C108D5"/>
    <w:rsid w:val="00C11A5C"/>
    <w:rsid w:val="00C12FDC"/>
    <w:rsid w:val="00C2008E"/>
    <w:rsid w:val="00C2125D"/>
    <w:rsid w:val="00C231CA"/>
    <w:rsid w:val="00C26506"/>
    <w:rsid w:val="00C33EC2"/>
    <w:rsid w:val="00C52595"/>
    <w:rsid w:val="00C53CC6"/>
    <w:rsid w:val="00C548D4"/>
    <w:rsid w:val="00C56D85"/>
    <w:rsid w:val="00C62AF7"/>
    <w:rsid w:val="00C639BD"/>
    <w:rsid w:val="00C65CB9"/>
    <w:rsid w:val="00C7256F"/>
    <w:rsid w:val="00C72BE2"/>
    <w:rsid w:val="00C80E9A"/>
    <w:rsid w:val="00C8101E"/>
    <w:rsid w:val="00C81536"/>
    <w:rsid w:val="00C83C7A"/>
    <w:rsid w:val="00C86347"/>
    <w:rsid w:val="00C91615"/>
    <w:rsid w:val="00C93D4F"/>
    <w:rsid w:val="00C94A01"/>
    <w:rsid w:val="00C960D8"/>
    <w:rsid w:val="00C9669C"/>
    <w:rsid w:val="00CA1EDF"/>
    <w:rsid w:val="00CB2245"/>
    <w:rsid w:val="00CB34A1"/>
    <w:rsid w:val="00CC1D83"/>
    <w:rsid w:val="00CC37A5"/>
    <w:rsid w:val="00CC3C43"/>
    <w:rsid w:val="00CC7B5D"/>
    <w:rsid w:val="00CD4857"/>
    <w:rsid w:val="00CE1DC8"/>
    <w:rsid w:val="00D041CF"/>
    <w:rsid w:val="00D05A63"/>
    <w:rsid w:val="00D20A66"/>
    <w:rsid w:val="00D30A5E"/>
    <w:rsid w:val="00D34E15"/>
    <w:rsid w:val="00D356F9"/>
    <w:rsid w:val="00D47143"/>
    <w:rsid w:val="00D52708"/>
    <w:rsid w:val="00D52B90"/>
    <w:rsid w:val="00D67C9B"/>
    <w:rsid w:val="00D71739"/>
    <w:rsid w:val="00D722A2"/>
    <w:rsid w:val="00D801BF"/>
    <w:rsid w:val="00D90B0E"/>
    <w:rsid w:val="00D917ED"/>
    <w:rsid w:val="00D926BF"/>
    <w:rsid w:val="00D932B2"/>
    <w:rsid w:val="00DA1B67"/>
    <w:rsid w:val="00DA6558"/>
    <w:rsid w:val="00DB1445"/>
    <w:rsid w:val="00DB37AC"/>
    <w:rsid w:val="00DC666E"/>
    <w:rsid w:val="00DC7AD1"/>
    <w:rsid w:val="00DD10CE"/>
    <w:rsid w:val="00DD329D"/>
    <w:rsid w:val="00DD6214"/>
    <w:rsid w:val="00DE1ECA"/>
    <w:rsid w:val="00DE2B69"/>
    <w:rsid w:val="00DF0ADC"/>
    <w:rsid w:val="00E06465"/>
    <w:rsid w:val="00E20C92"/>
    <w:rsid w:val="00E22A84"/>
    <w:rsid w:val="00E23A71"/>
    <w:rsid w:val="00E349CD"/>
    <w:rsid w:val="00E40873"/>
    <w:rsid w:val="00E43F9F"/>
    <w:rsid w:val="00E440C8"/>
    <w:rsid w:val="00E50E08"/>
    <w:rsid w:val="00E55374"/>
    <w:rsid w:val="00E60518"/>
    <w:rsid w:val="00E6078A"/>
    <w:rsid w:val="00E752AD"/>
    <w:rsid w:val="00E8255D"/>
    <w:rsid w:val="00E8391D"/>
    <w:rsid w:val="00E91AD3"/>
    <w:rsid w:val="00E9257F"/>
    <w:rsid w:val="00E96488"/>
    <w:rsid w:val="00EA489B"/>
    <w:rsid w:val="00EB457E"/>
    <w:rsid w:val="00EC201D"/>
    <w:rsid w:val="00EC21B1"/>
    <w:rsid w:val="00ED1F40"/>
    <w:rsid w:val="00EE072C"/>
    <w:rsid w:val="00EE2EB4"/>
    <w:rsid w:val="00EF1667"/>
    <w:rsid w:val="00EF1C8F"/>
    <w:rsid w:val="00F054F6"/>
    <w:rsid w:val="00F15014"/>
    <w:rsid w:val="00F21898"/>
    <w:rsid w:val="00F218D0"/>
    <w:rsid w:val="00F21E8D"/>
    <w:rsid w:val="00F2284B"/>
    <w:rsid w:val="00F3262F"/>
    <w:rsid w:val="00F35E62"/>
    <w:rsid w:val="00F3778A"/>
    <w:rsid w:val="00F46691"/>
    <w:rsid w:val="00F5181F"/>
    <w:rsid w:val="00F555A0"/>
    <w:rsid w:val="00F60148"/>
    <w:rsid w:val="00F6198B"/>
    <w:rsid w:val="00F72968"/>
    <w:rsid w:val="00F76D3D"/>
    <w:rsid w:val="00F872FD"/>
    <w:rsid w:val="00F92081"/>
    <w:rsid w:val="00F92791"/>
    <w:rsid w:val="00FA02C6"/>
    <w:rsid w:val="00FA03D2"/>
    <w:rsid w:val="00FA6354"/>
    <w:rsid w:val="00FB285C"/>
    <w:rsid w:val="00FB2C50"/>
    <w:rsid w:val="00FB2DF8"/>
    <w:rsid w:val="00FB56CD"/>
    <w:rsid w:val="00FD3713"/>
    <w:rsid w:val="00FE0E34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styleId="Strong">
    <w:name w:val="Strong"/>
    <w:basedOn w:val="DefaultParagraphFont"/>
    <w:uiPriority w:val="22"/>
    <w:qFormat/>
    <w:rsid w:val="00E20C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styleId="Strong">
    <w:name w:val="Strong"/>
    <w:basedOn w:val="DefaultParagraphFont"/>
    <w:uiPriority w:val="22"/>
    <w:qFormat/>
    <w:rsid w:val="00E20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ints@olsen.lv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nts\Desktop\Jani_Ligas_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nts\Desktop\Jani_Ligas_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200"/>
              <a:t>Izmaksāts atlīdzībās par CSNg, kur cietis uz Jāņa vārda reģistrēts transportlīdzeklis (EUR)</a:t>
            </a:r>
          </a:p>
        </c:rich>
      </c:tx>
      <c:layout>
        <c:manualLayout>
          <c:xMode val="edge"/>
          <c:yMode val="edge"/>
          <c:x val="0.121"/>
          <c:y val="2.77777777777777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areaChart>
        <c:grouping val="standar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>
              <a:noFill/>
            </a:ln>
            <a:effectLst>
              <a:innerShdw dist="12700" dir="16200000">
                <a:schemeClr val="lt1"/>
              </a:innerShdw>
            </a:effectLst>
          </c:spPr>
          <c:dLbls>
            <c:dLbl>
              <c:idx val="0"/>
              <c:layout>
                <c:manualLayout>
                  <c:x val="6.6666666666666666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666666666666616E-2"/>
                  <c:y val="-0.120370370370370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566E-2"/>
                  <c:y val="-0.14814814814814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0.18518518518518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88888888888889E-2"/>
                  <c:y val="-0.180555555555555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'2011-2016'!$E$5:$E$9</c:f>
              <c:numCache>
                <c:formatCode>0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 formatCode="@">
                  <c:v>2014</c:v>
                </c:pt>
                <c:pt idx="4" formatCode="@">
                  <c:v>2015</c:v>
                </c:pt>
              </c:numCache>
            </c:numRef>
          </c:cat>
          <c:val>
            <c:numRef>
              <c:f>'2011-2016'!$F$5:$F$9</c:f>
              <c:numCache>
                <c:formatCode>0.00</c:formatCode>
                <c:ptCount val="5"/>
                <c:pt idx="0">
                  <c:v>479616.60000000015</c:v>
                </c:pt>
                <c:pt idx="1">
                  <c:v>449405.62999999983</c:v>
                </c:pt>
                <c:pt idx="2">
                  <c:v>536032.06999999937</c:v>
                </c:pt>
                <c:pt idx="3">
                  <c:v>668218.65999999992</c:v>
                </c:pt>
                <c:pt idx="4">
                  <c:v>573932.8899999999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8188032"/>
        <c:axId val="127216448"/>
      </c:areaChart>
      <c:catAx>
        <c:axId val="158188032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27216448"/>
        <c:crosses val="autoZero"/>
        <c:auto val="1"/>
        <c:lblAlgn val="ctr"/>
        <c:lblOffset val="100"/>
        <c:noMultiLvlLbl val="0"/>
      </c:catAx>
      <c:valAx>
        <c:axId val="12721644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5818803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200"/>
              <a:t>Izmaksāts atlīdzībās par CSNg, kur cietis uz Līgas vārda reģistrēts transportlīdzeklis (EUR)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areaChart>
        <c:grouping val="standar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>
              <a:noFill/>
            </a:ln>
            <a:effectLst>
              <a:innerShdw dist="12700" dir="16200000">
                <a:schemeClr val="lt1"/>
              </a:innerShdw>
            </a:effectLst>
          </c:spPr>
          <c:dLbls>
            <c:dLbl>
              <c:idx val="0"/>
              <c:layout>
                <c:manualLayout>
                  <c:x val="5.2777777777777778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925337632079971E-17"/>
                  <c:y val="-0.120370370370370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11111111111112E-2"/>
                  <c:y val="-0.175925925925926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0.185185185185185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5555555555555455E-2"/>
                  <c:y val="-0.185185185185185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'2011-2016'!$B$5:$B$9</c:f>
              <c:numCache>
                <c:formatCode>0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 formatCode="@">
                  <c:v>2014</c:v>
                </c:pt>
                <c:pt idx="4" formatCode="@">
                  <c:v>2015</c:v>
                </c:pt>
              </c:numCache>
            </c:numRef>
          </c:cat>
          <c:val>
            <c:numRef>
              <c:f>'2011-2016'!$C$5:$C$9</c:f>
              <c:numCache>
                <c:formatCode>0.00</c:formatCode>
                <c:ptCount val="5"/>
                <c:pt idx="0">
                  <c:v>47984.210000000006</c:v>
                </c:pt>
                <c:pt idx="1">
                  <c:v>54785.79</c:v>
                </c:pt>
                <c:pt idx="2">
                  <c:v>74945.140000000043</c:v>
                </c:pt>
                <c:pt idx="3">
                  <c:v>74260.64999999998</c:v>
                </c:pt>
                <c:pt idx="4">
                  <c:v>86500.329999999973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837760"/>
        <c:axId val="127217600"/>
      </c:areaChart>
      <c:catAx>
        <c:axId val="12683776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27217600"/>
        <c:crosses val="autoZero"/>
        <c:auto val="1"/>
        <c:lblAlgn val="ctr"/>
        <c:lblOffset val="100"/>
        <c:noMultiLvlLbl val="0"/>
      </c:catAx>
      <c:valAx>
        <c:axId val="12721760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2683776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D0BD-3F89-4C69-92CD-EBF9EE68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2016-06-22T10:50:00Z</dcterms:created>
  <dcterms:modified xsi:type="dcterms:W3CDTF">2016-06-22T10:50:00Z</dcterms:modified>
</cp:coreProperties>
</file>