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77777777" w:rsidR="00B44512" w:rsidRPr="003328A9" w:rsidRDefault="00B44512" w:rsidP="00C80AFA">
      <w:pPr>
        <w:spacing w:after="0" w:line="240" w:lineRule="auto"/>
        <w:jc w:val="right"/>
        <w:rPr>
          <w:b/>
          <w:lang w:val="lv-LV"/>
        </w:rPr>
      </w:pPr>
      <w:r w:rsidRPr="003328A9">
        <w:rPr>
          <w:b/>
          <w:lang w:val="lv-LV"/>
        </w:rPr>
        <w:t>Paziņojums masu medijiem</w:t>
      </w:r>
    </w:p>
    <w:p w14:paraId="50188D1F" w14:textId="2DD79B47" w:rsidR="00B44512" w:rsidRPr="003328A9" w:rsidRDefault="00AB513F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03</w:t>
      </w:r>
      <w:r w:rsidR="00523E8B">
        <w:rPr>
          <w:b/>
          <w:lang w:val="lv-LV"/>
        </w:rPr>
        <w:t>.02.2016</w:t>
      </w:r>
      <w:r w:rsidR="00B44512" w:rsidRPr="003328A9">
        <w:rPr>
          <w:b/>
          <w:lang w:val="lv-LV"/>
        </w:rPr>
        <w:t>.</w:t>
      </w:r>
    </w:p>
    <w:p w14:paraId="58EAAF8F" w14:textId="77777777" w:rsidR="00B44512" w:rsidRPr="00AE522C" w:rsidRDefault="00B44512" w:rsidP="008C2224">
      <w:pPr>
        <w:jc w:val="center"/>
        <w:rPr>
          <w:b/>
          <w:sz w:val="12"/>
          <w:szCs w:val="12"/>
          <w:lang w:val="lv-LV"/>
        </w:rPr>
      </w:pPr>
    </w:p>
    <w:p w14:paraId="26FCB190" w14:textId="412756BF" w:rsidR="00B367B9" w:rsidRPr="00746D71" w:rsidRDefault="00523E8B" w:rsidP="00B367B9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Palielinoties CSNg skaitam un zaudējumu atlīdzību izmaksām, pieaug OCTA nozares zaudējumi</w:t>
      </w:r>
    </w:p>
    <w:p w14:paraId="47349756" w14:textId="365ED1E1" w:rsidR="00B367B9" w:rsidRPr="00523E8B" w:rsidRDefault="00B367B9" w:rsidP="00B367B9">
      <w:pPr>
        <w:jc w:val="both"/>
        <w:rPr>
          <w:b/>
          <w:lang w:val="lv-LV"/>
        </w:rPr>
      </w:pPr>
      <w:r w:rsidRPr="00705FFE">
        <w:rPr>
          <w:b/>
          <w:lang w:val="lv-LV"/>
        </w:rPr>
        <w:t xml:space="preserve">Latvijas Transportlīdzekļu apdrošinātāju biroja (turpmāk – LTAB) </w:t>
      </w:r>
      <w:r w:rsidR="00523E8B">
        <w:rPr>
          <w:b/>
          <w:lang w:val="lv-LV"/>
        </w:rPr>
        <w:t xml:space="preserve">dati liecina, ka </w:t>
      </w:r>
      <w:r w:rsidR="00523E8B" w:rsidRPr="00523E8B">
        <w:rPr>
          <w:b/>
          <w:lang w:val="lv-LV"/>
        </w:rPr>
        <w:t xml:space="preserve">2015. gada 12 mēnešos notikušo </w:t>
      </w:r>
      <w:r w:rsidR="00523E8B">
        <w:rPr>
          <w:b/>
          <w:lang w:val="lv-LV"/>
        </w:rPr>
        <w:t>CSNg</w:t>
      </w:r>
      <w:r w:rsidR="00523E8B" w:rsidRPr="00523E8B">
        <w:rPr>
          <w:b/>
          <w:lang w:val="lv-LV"/>
        </w:rPr>
        <w:t xml:space="preserve"> skaits, par kuriem ir iesniegti zaudējumu pieteikumi apdrošināšanas sabiedrībās, sastādīja 34 330, kas salīdzinājumā ar 2014. gada 12 mēnešiem ir palielinājies par 10,2%</w:t>
      </w:r>
      <w:r w:rsidRPr="00705FFE">
        <w:rPr>
          <w:b/>
          <w:lang w:val="lv-LV"/>
        </w:rPr>
        <w:t>.</w:t>
      </w:r>
      <w:r w:rsidR="00523E8B">
        <w:rPr>
          <w:b/>
          <w:lang w:val="lv-LV"/>
        </w:rPr>
        <w:t xml:space="preserve"> Pērn </w:t>
      </w:r>
      <w:r w:rsidR="00523E8B" w:rsidRPr="00523E8B">
        <w:rPr>
          <w:b/>
          <w:lang w:val="lv-LV"/>
        </w:rPr>
        <w:t>apdrošināšanas sabiedrībās un LTAB iesniegti kopā 43 672 zaudējumu pieteikumi, kas ir par 12,4 % va</w:t>
      </w:r>
      <w:r w:rsidR="00523E8B">
        <w:rPr>
          <w:b/>
          <w:lang w:val="lv-LV"/>
        </w:rPr>
        <w:t>irāk nekā 2014. gada 12 mēnešos, savukārt s</w:t>
      </w:r>
      <w:r w:rsidR="00523E8B" w:rsidRPr="00523E8B">
        <w:rPr>
          <w:b/>
          <w:lang w:val="lv-LV"/>
        </w:rPr>
        <w:t>aistībā ar šī gada un iepriekšējo gadu zaudējumu pieteikumiem 2015. gada 12 mēnešos ir pieņemti 42 044 lēmumi par apdrošināšanas atlīdzības izmaksām par kopējo summu 41</w:t>
      </w:r>
      <w:r w:rsidR="00710389">
        <w:rPr>
          <w:b/>
          <w:lang w:val="lv-LV"/>
        </w:rPr>
        <w:t xml:space="preserve">,3 miljoni </w:t>
      </w:r>
      <w:r w:rsidR="00523E8B" w:rsidRPr="00523E8B">
        <w:rPr>
          <w:b/>
          <w:lang w:val="lv-LV"/>
        </w:rPr>
        <w:t xml:space="preserve">EUR, kas ir par 14,5% vairāk nekā </w:t>
      </w:r>
      <w:r w:rsidR="00523E8B">
        <w:rPr>
          <w:b/>
          <w:lang w:val="lv-LV"/>
        </w:rPr>
        <w:t>attiecīgā periodā pērn. “Prēmiju p</w:t>
      </w:r>
      <w:r w:rsidR="0044414B">
        <w:rPr>
          <w:b/>
          <w:lang w:val="lv-LV"/>
        </w:rPr>
        <w:t xml:space="preserve">ieaugums pagājušajā gadā </w:t>
      </w:r>
      <w:r w:rsidR="00523E8B">
        <w:rPr>
          <w:b/>
          <w:lang w:val="lv-LV"/>
        </w:rPr>
        <w:t xml:space="preserve">nav bijis pietiekams, lai segtu apdrošinātāju izmaksu kāpumu, tādēļ </w:t>
      </w:r>
      <w:proofErr w:type="gramStart"/>
      <w:r w:rsidR="00523E8B">
        <w:rPr>
          <w:b/>
          <w:lang w:val="lv-LV"/>
        </w:rPr>
        <w:t>2015.gadu</w:t>
      </w:r>
      <w:proofErr w:type="gramEnd"/>
      <w:r w:rsidR="00523E8B">
        <w:rPr>
          <w:b/>
          <w:lang w:val="lv-LV"/>
        </w:rPr>
        <w:t xml:space="preserve"> OCTA nozare beigusi ar zaudējumiem </w:t>
      </w:r>
      <w:r w:rsidR="00710389">
        <w:rPr>
          <w:b/>
          <w:lang w:val="lv-LV"/>
        </w:rPr>
        <w:t xml:space="preserve">gandrīz </w:t>
      </w:r>
      <w:r w:rsidR="00523E8B" w:rsidRPr="00523E8B">
        <w:rPr>
          <w:b/>
          <w:bCs/>
          <w:lang w:val="lv-LV"/>
        </w:rPr>
        <w:t>11</w:t>
      </w:r>
      <w:r w:rsidR="00710389">
        <w:rPr>
          <w:b/>
          <w:bCs/>
          <w:lang w:val="lv-LV"/>
        </w:rPr>
        <w:t xml:space="preserve">,7  miljonu </w:t>
      </w:r>
      <w:r w:rsidR="00523E8B">
        <w:rPr>
          <w:b/>
          <w:bCs/>
          <w:lang w:val="lv-LV"/>
        </w:rPr>
        <w:t>EUR apmērā,” informē LTAB valdes priekšsēdētājs Juris Stengrevics.</w:t>
      </w:r>
    </w:p>
    <w:p w14:paraId="4C4CB632" w14:textId="56CF52DA" w:rsidR="00E60518" w:rsidRDefault="001222C6" w:rsidP="008C2224">
      <w:pPr>
        <w:jc w:val="both"/>
        <w:rPr>
          <w:color w:val="000000"/>
          <w:lang w:val="lv-LV"/>
        </w:rPr>
      </w:pPr>
      <w:r w:rsidRPr="001222C6">
        <w:rPr>
          <w:lang w:val="lv-LV"/>
        </w:rPr>
        <w:t>No 2015. gada 12 mēnešos apdrošināšanas sabiedrībās reģistrētajiem 34 330 apdrošināšanas gadījumiem 31 758 ir notikuš</w:t>
      </w:r>
      <w:r>
        <w:rPr>
          <w:lang w:val="lv-LV"/>
        </w:rPr>
        <w:t xml:space="preserve">i Latvijā, t.sk. 18 512 – </w:t>
      </w:r>
      <w:r w:rsidRPr="001222C6">
        <w:rPr>
          <w:lang w:val="lv-LV"/>
        </w:rPr>
        <w:t>Rīgā</w:t>
      </w:r>
      <w:r>
        <w:rPr>
          <w:lang w:val="lv-LV"/>
        </w:rPr>
        <w:t xml:space="preserve">. Savukārt starp ārvalstīm, </w:t>
      </w:r>
      <w:r w:rsidRPr="001222C6">
        <w:rPr>
          <w:color w:val="000000"/>
          <w:lang w:val="lv-LV"/>
        </w:rPr>
        <w:t>kurās reģistrēts vislielākais apdrošināšanas gadījumu skaits, kas pieteikti Latvijas apdrošinātājiem ir Vācija (581 apdrošināšanas gadījums), Lietuva (311), Polija (218)</w:t>
      </w:r>
      <w:r>
        <w:rPr>
          <w:color w:val="000000"/>
          <w:lang w:val="lv-LV"/>
        </w:rPr>
        <w:t xml:space="preserve">. </w:t>
      </w:r>
      <w:r w:rsidRPr="001222C6">
        <w:rPr>
          <w:color w:val="000000"/>
          <w:lang w:val="lv-LV"/>
        </w:rPr>
        <w:t xml:space="preserve">Uz Saskaņoto paziņojumu pamata </w:t>
      </w:r>
      <w:r>
        <w:rPr>
          <w:color w:val="000000"/>
          <w:lang w:val="lv-LV"/>
        </w:rPr>
        <w:t>pērn</w:t>
      </w:r>
      <w:r w:rsidRPr="001222C6">
        <w:rPr>
          <w:color w:val="000000"/>
          <w:lang w:val="lv-LV"/>
        </w:rPr>
        <w:t xml:space="preserve"> reģistrēti</w:t>
      </w:r>
      <w:r w:rsidRPr="001222C6">
        <w:rPr>
          <w:b/>
          <w:color w:val="000000"/>
          <w:lang w:val="lv-LV"/>
        </w:rPr>
        <w:t xml:space="preserve"> </w:t>
      </w:r>
      <w:r w:rsidRPr="001222C6">
        <w:rPr>
          <w:color w:val="000000"/>
          <w:lang w:val="lv-LV"/>
        </w:rPr>
        <w:t>22 344 CSNg, kas ir par 12,3%</w:t>
      </w:r>
      <w:r w:rsidRPr="001222C6">
        <w:rPr>
          <w:b/>
          <w:color w:val="000000"/>
          <w:lang w:val="lv-LV"/>
        </w:rPr>
        <w:t xml:space="preserve"> </w:t>
      </w:r>
      <w:r w:rsidRPr="001222C6">
        <w:rPr>
          <w:color w:val="000000"/>
          <w:lang w:val="lv-LV"/>
        </w:rPr>
        <w:t xml:space="preserve">vairāk nekā </w:t>
      </w:r>
      <w:r w:rsidR="005B5F07">
        <w:rPr>
          <w:color w:val="000000"/>
          <w:lang w:val="lv-LV"/>
        </w:rPr>
        <w:t>tādā pat</w:t>
      </w:r>
      <w:r>
        <w:rPr>
          <w:color w:val="000000"/>
          <w:lang w:val="lv-LV"/>
        </w:rPr>
        <w:t xml:space="preserve"> periodā 2014.gadā.</w:t>
      </w:r>
    </w:p>
    <w:p w14:paraId="0C5CF4DC" w14:textId="5D3729F8" w:rsidR="00C2008E" w:rsidRDefault="001222C6" w:rsidP="008C2224">
      <w:pPr>
        <w:jc w:val="both"/>
        <w:rPr>
          <w:lang w:val="lv-LV"/>
        </w:rPr>
      </w:pPr>
      <w:r w:rsidRPr="001222C6">
        <w:rPr>
          <w:lang w:val="lv-LV"/>
        </w:rPr>
        <w:t>Saistībā ar šī gada un iepriekšējo gadu zaudējumu pieteikumiem</w:t>
      </w:r>
      <w:r>
        <w:rPr>
          <w:lang w:val="lv-LV"/>
        </w:rPr>
        <w:t>,</w:t>
      </w:r>
      <w:r w:rsidRPr="001222C6">
        <w:rPr>
          <w:lang w:val="lv-LV"/>
        </w:rPr>
        <w:t xml:space="preserve"> </w:t>
      </w:r>
      <w:r>
        <w:rPr>
          <w:lang w:val="lv-LV"/>
        </w:rPr>
        <w:t>pērn</w:t>
      </w:r>
      <w:r w:rsidRPr="001222C6">
        <w:rPr>
          <w:lang w:val="lv-LV"/>
        </w:rPr>
        <w:t xml:space="preserve"> pieņemti 42 044 lēmumi par apdrošināšanas atlīdzības izmaksām par kopējo summu 41</w:t>
      </w:r>
      <w:r w:rsidR="00710389">
        <w:rPr>
          <w:lang w:val="lv-LV"/>
        </w:rPr>
        <w:t>,3</w:t>
      </w:r>
      <w:r w:rsidRPr="001222C6">
        <w:rPr>
          <w:lang w:val="lv-LV"/>
        </w:rPr>
        <w:t xml:space="preserve"> </w:t>
      </w:r>
      <w:r w:rsidR="00710389">
        <w:rPr>
          <w:lang w:val="lv-LV"/>
        </w:rPr>
        <w:t>miljoni</w:t>
      </w:r>
      <w:r w:rsidRPr="001222C6">
        <w:rPr>
          <w:lang w:val="lv-LV"/>
        </w:rPr>
        <w:t xml:space="preserve"> EUR, kas ir par 5</w:t>
      </w:r>
      <w:r w:rsidR="00710389">
        <w:rPr>
          <w:lang w:val="lv-LV"/>
        </w:rPr>
        <w:t>,</w:t>
      </w:r>
      <w:r w:rsidRPr="001222C6">
        <w:rPr>
          <w:lang w:val="lv-LV"/>
        </w:rPr>
        <w:t>2</w:t>
      </w:r>
      <w:r w:rsidR="00710389">
        <w:rPr>
          <w:lang w:val="lv-LV"/>
        </w:rPr>
        <w:t xml:space="preserve"> miljonu </w:t>
      </w:r>
      <w:r w:rsidRPr="001222C6">
        <w:rPr>
          <w:lang w:val="lv-LV"/>
        </w:rPr>
        <w:t>EUR v</w:t>
      </w:r>
      <w:r>
        <w:rPr>
          <w:lang w:val="lv-LV"/>
        </w:rPr>
        <w:t>airāk nekā 2014. gadā</w:t>
      </w:r>
      <w:r w:rsidRPr="001222C6">
        <w:rPr>
          <w:lang w:val="lv-LV"/>
        </w:rPr>
        <w:t>.</w:t>
      </w:r>
      <w:r>
        <w:rPr>
          <w:lang w:val="lv-LV"/>
        </w:rPr>
        <w:t xml:space="preserve"> </w:t>
      </w:r>
      <w:r w:rsidRPr="001222C6">
        <w:rPr>
          <w:lang w:val="lv-LV"/>
        </w:rPr>
        <w:t>Vislielākā atlīdzību lēmumu summa tika izmaksāta par transportlīdzekļu bojājumu un bojāejas zaudējumu atlīdzināšanu, kas kopā sastādīja 76% no kopējās atlīdzību summas</w:t>
      </w:r>
      <w:r>
        <w:rPr>
          <w:lang w:val="lv-LV"/>
        </w:rPr>
        <w:t>.</w:t>
      </w:r>
      <w:r w:rsidR="005B5F07">
        <w:rPr>
          <w:lang w:val="lv-LV"/>
        </w:rPr>
        <w:t xml:space="preserve"> </w:t>
      </w:r>
      <w:r w:rsidR="005B5F07" w:rsidRPr="005B5F07">
        <w:rPr>
          <w:lang w:val="lv-LV"/>
        </w:rPr>
        <w:t>Vidējās atlīdzības izmaksas lielums par Latvijā notikušo apdrošināšanas gadījumu sastādīja 936 EUR, kas salīdzinot ar 2014. gada 12 mēnešu datiem ir palielinājies par 4,3%</w:t>
      </w:r>
      <w:r w:rsidR="005B5F07">
        <w:rPr>
          <w:lang w:val="lv-LV"/>
        </w:rPr>
        <w:t xml:space="preserve">, bet ārvalstīs - </w:t>
      </w:r>
      <w:r w:rsidR="005B5F07" w:rsidRPr="005B5F07">
        <w:rPr>
          <w:lang w:val="lv-LV"/>
        </w:rPr>
        <w:t xml:space="preserve">3 842 EUR, kas salīdzinot ar </w:t>
      </w:r>
      <w:r w:rsidR="005B5F07">
        <w:rPr>
          <w:lang w:val="lv-LV"/>
        </w:rPr>
        <w:t>tādu pat periodu pērn</w:t>
      </w:r>
      <w:r w:rsidR="005B5F07" w:rsidRPr="005B5F07">
        <w:rPr>
          <w:lang w:val="lv-LV"/>
        </w:rPr>
        <w:t xml:space="preserve"> ir palielinājies par 892 EUR jeb 30,2%</w:t>
      </w:r>
      <w:r w:rsidR="005B5F07">
        <w:rPr>
          <w:lang w:val="lv-LV"/>
        </w:rPr>
        <w:t>. “</w:t>
      </w:r>
      <w:r w:rsidR="005B5F07" w:rsidRPr="005B5F07">
        <w:rPr>
          <w:lang w:val="lv-LV"/>
        </w:rPr>
        <w:t xml:space="preserve">Šo straujo pieaugumu ietekmēja vairāku simtu tūkstošu atlīdzību izmaksa </w:t>
      </w:r>
      <w:r w:rsidR="005B5F07">
        <w:rPr>
          <w:lang w:val="lv-LV"/>
        </w:rPr>
        <w:t xml:space="preserve">2015.gadā </w:t>
      </w:r>
      <w:r w:rsidR="005B5F07" w:rsidRPr="005B5F07">
        <w:rPr>
          <w:lang w:val="lv-LV"/>
        </w:rPr>
        <w:t xml:space="preserve">par diviem CSNg, kas notika </w:t>
      </w:r>
      <w:r w:rsidR="005B5F07">
        <w:rPr>
          <w:lang w:val="lv-LV"/>
        </w:rPr>
        <w:t xml:space="preserve">attiecīgi </w:t>
      </w:r>
      <w:r w:rsidR="005B5F07" w:rsidRPr="005B5F07">
        <w:rPr>
          <w:lang w:val="lv-LV"/>
        </w:rPr>
        <w:t xml:space="preserve">2007. </w:t>
      </w:r>
      <w:r w:rsidR="005B5F07">
        <w:rPr>
          <w:lang w:val="lv-LV"/>
        </w:rPr>
        <w:t>gadā Īrijā un 2012. gadā Dānijā,” skaidro J.Stengrevics, piebilstot, ka v</w:t>
      </w:r>
      <w:r w:rsidR="005B5F07" w:rsidRPr="005B5F07">
        <w:rPr>
          <w:lang w:val="lv-LV"/>
        </w:rPr>
        <w:t xml:space="preserve">idējais atlīdzības izmaksas lielums par ārzemēs notikušajiem CSNg ir </w:t>
      </w:r>
      <w:r w:rsidR="005B5F07">
        <w:rPr>
          <w:lang w:val="lv-LV"/>
        </w:rPr>
        <w:t>4,</w:t>
      </w:r>
      <w:r w:rsidR="005B5F07" w:rsidRPr="005B5F07">
        <w:rPr>
          <w:lang w:val="lv-LV"/>
        </w:rPr>
        <w:t>1 reizes lielāks nekā vidējais atlīdzības izmaksas lielums, kas tiek izmaksāts par Latvijā notikušajiem CSNg</w:t>
      </w:r>
      <w:r w:rsidR="005B5F07">
        <w:rPr>
          <w:lang w:val="lv-LV"/>
        </w:rPr>
        <w:t>.</w:t>
      </w:r>
    </w:p>
    <w:p w14:paraId="51D60C20" w14:textId="553C6F9A" w:rsidR="005B5F07" w:rsidRPr="0044414B" w:rsidRDefault="005B5F07" w:rsidP="008C2224">
      <w:pPr>
        <w:jc w:val="both"/>
        <w:rPr>
          <w:lang w:val="lv-LV"/>
        </w:rPr>
      </w:pPr>
      <w:r w:rsidRPr="005B5F07">
        <w:rPr>
          <w:lang w:val="lv-LV"/>
        </w:rPr>
        <w:t xml:space="preserve">2015. gada 12 mēnešos apdrošināšanas sabiedrību nopelnīto prēmiju summa ir 47 </w:t>
      </w:r>
      <w:r w:rsidR="00710389">
        <w:rPr>
          <w:lang w:val="lv-LV"/>
        </w:rPr>
        <w:t>miljoni</w:t>
      </w:r>
      <w:r w:rsidRPr="005B5F07">
        <w:rPr>
          <w:lang w:val="lv-LV"/>
        </w:rPr>
        <w:t xml:space="preserve"> EUR</w:t>
      </w:r>
      <w:r w:rsidR="0044414B">
        <w:rPr>
          <w:lang w:val="lv-LV"/>
        </w:rPr>
        <w:t>, kas ir par 1,2</w:t>
      </w:r>
      <w:r>
        <w:rPr>
          <w:lang w:val="lv-LV"/>
        </w:rPr>
        <w:t xml:space="preserve">% vairāk nekā </w:t>
      </w:r>
      <w:proofErr w:type="gramStart"/>
      <w:r>
        <w:rPr>
          <w:lang w:val="lv-LV"/>
        </w:rPr>
        <w:t>2014.gadā</w:t>
      </w:r>
      <w:proofErr w:type="gramEnd"/>
      <w:r w:rsidR="0044414B">
        <w:rPr>
          <w:lang w:val="lv-LV"/>
        </w:rPr>
        <w:t>, tikmēr kopumā</w:t>
      </w:r>
      <w:r w:rsidR="0044414B" w:rsidRPr="0044414B">
        <w:rPr>
          <w:lang w:val="lv-LV"/>
        </w:rPr>
        <w:t xml:space="preserve"> OCTA tirgus 2015. gada 12 mēnešus noslēdza ar </w:t>
      </w:r>
      <w:r w:rsidR="00710389">
        <w:rPr>
          <w:lang w:val="lv-LV"/>
        </w:rPr>
        <w:t xml:space="preserve">gandrīz </w:t>
      </w:r>
      <w:r w:rsidR="0044414B" w:rsidRPr="0044414B">
        <w:rPr>
          <w:lang w:val="lv-LV"/>
        </w:rPr>
        <w:t>11,</w:t>
      </w:r>
      <w:r w:rsidR="00710389">
        <w:rPr>
          <w:lang w:val="lv-LV"/>
        </w:rPr>
        <w:t>7</w:t>
      </w:r>
      <w:r w:rsidR="00710389" w:rsidRPr="0044414B">
        <w:rPr>
          <w:lang w:val="lv-LV"/>
        </w:rPr>
        <w:t xml:space="preserve"> </w:t>
      </w:r>
      <w:r w:rsidR="0044414B" w:rsidRPr="0044414B">
        <w:rPr>
          <w:lang w:val="lv-LV"/>
        </w:rPr>
        <w:t>miljonu eiro zaudējumu</w:t>
      </w:r>
      <w:r>
        <w:rPr>
          <w:lang w:val="lv-LV"/>
        </w:rPr>
        <w:t xml:space="preserve">. “Būtiski pieaugušās zaudējumu atlīdzību izmaksas un tam nesekojušais </w:t>
      </w:r>
      <w:r w:rsidR="008C2D0E">
        <w:rPr>
          <w:lang w:val="lv-LV"/>
        </w:rPr>
        <w:t xml:space="preserve">pietiekams </w:t>
      </w:r>
      <w:r>
        <w:rPr>
          <w:lang w:val="lv-LV"/>
        </w:rPr>
        <w:t xml:space="preserve">palielinājums nopelnīto prēmiju apjomā, radījis situāciju, kad OCTA nozare piedzīvojusi lielākos zaudējumus </w:t>
      </w:r>
      <w:r w:rsidR="0044414B">
        <w:rPr>
          <w:lang w:val="lv-LV"/>
        </w:rPr>
        <w:t xml:space="preserve">kopš </w:t>
      </w:r>
      <w:proofErr w:type="gramStart"/>
      <w:r w:rsidR="0044414B">
        <w:rPr>
          <w:lang w:val="lv-LV"/>
        </w:rPr>
        <w:t>2007.gada</w:t>
      </w:r>
      <w:proofErr w:type="gramEnd"/>
      <w:r>
        <w:rPr>
          <w:lang w:val="lv-LV"/>
        </w:rPr>
        <w:t xml:space="preserve">. </w:t>
      </w:r>
      <w:r w:rsidR="0044414B">
        <w:rPr>
          <w:lang w:val="lv-LV"/>
        </w:rPr>
        <w:t>P</w:t>
      </w:r>
      <w:r w:rsidR="0044414B" w:rsidRPr="0044414B">
        <w:rPr>
          <w:lang w:val="lv-LV"/>
        </w:rPr>
        <w:t xml:space="preserve">at neieskaitot LAAS „BALVA” </w:t>
      </w:r>
      <w:r w:rsidR="0044414B">
        <w:rPr>
          <w:lang w:val="lv-LV"/>
        </w:rPr>
        <w:t xml:space="preserve">radītos </w:t>
      </w:r>
      <w:r w:rsidR="0044414B" w:rsidRPr="0044414B">
        <w:rPr>
          <w:lang w:val="lv-LV"/>
        </w:rPr>
        <w:t>zaudējumus, zaudējumi tirgū ir 2,7 reizes lielāki nekā 2014. gada attiecīgajā periodā</w:t>
      </w:r>
      <w:r w:rsidR="0044414B">
        <w:rPr>
          <w:lang w:val="lv-LV"/>
        </w:rPr>
        <w:t xml:space="preserve">, kas lielā mērā </w:t>
      </w:r>
      <w:r w:rsidR="0044414B" w:rsidRPr="0044414B">
        <w:rPr>
          <w:lang w:val="lv-LV"/>
        </w:rPr>
        <w:t xml:space="preserve">saistīts ar pieaugošo atlīdzību apmēru personām nodarītajos zaudējumos (t.sk. nemateriālajos zaudējumos) un pieaugumu </w:t>
      </w:r>
      <w:r w:rsidR="0044414B" w:rsidRPr="0044414B">
        <w:rPr>
          <w:color w:val="000000"/>
          <w:lang w:val="lv-LV"/>
        </w:rPr>
        <w:t>atlikto apdrošināšanas atlīdzību prasību tehniskajās rezervēs</w:t>
      </w:r>
      <w:r w:rsidR="0044414B">
        <w:rPr>
          <w:color w:val="000000"/>
          <w:lang w:val="lv-LV"/>
        </w:rPr>
        <w:t xml:space="preserve">. Paredzu, ka apdrošināšanas sabiedrību centieni samazināt zaudējumus, kā arī </w:t>
      </w:r>
      <w:proofErr w:type="gramStart"/>
      <w:r w:rsidR="0044414B">
        <w:rPr>
          <w:color w:val="000000"/>
          <w:lang w:val="lv-LV"/>
        </w:rPr>
        <w:t>2016.gadā</w:t>
      </w:r>
      <w:proofErr w:type="gramEnd"/>
      <w:r w:rsidR="0044414B">
        <w:rPr>
          <w:color w:val="000000"/>
          <w:lang w:val="lv-LV"/>
        </w:rPr>
        <w:t xml:space="preserve"> </w:t>
      </w:r>
      <w:r w:rsidR="008C2D0E">
        <w:rPr>
          <w:color w:val="000000"/>
          <w:lang w:val="lv-LV"/>
        </w:rPr>
        <w:t xml:space="preserve">prognozētā </w:t>
      </w:r>
      <w:r w:rsidR="0044414B">
        <w:rPr>
          <w:color w:val="000000"/>
          <w:lang w:val="lv-LV"/>
        </w:rPr>
        <w:t>apdrošinātāju obligāto iemaksu atsākšana Garantijas fondā, liks nozarei veikt korekcijas prēmiju aprēķinos, kas vairāk var atsaukties uz poli</w:t>
      </w:r>
      <w:bookmarkStart w:id="0" w:name="_GoBack"/>
      <w:bookmarkEnd w:id="0"/>
      <w:r w:rsidR="0044414B">
        <w:rPr>
          <w:color w:val="000000"/>
          <w:lang w:val="lv-LV"/>
        </w:rPr>
        <w:t xml:space="preserve">šu cenu pieaugumu </w:t>
      </w:r>
      <w:r w:rsidR="00AE522C">
        <w:rPr>
          <w:color w:val="000000"/>
          <w:lang w:val="lv-LV"/>
        </w:rPr>
        <w:t>agresīviem un negodprātīgiem autoīpašniekiem,” stāsta LTAB valdes priekšsēdētājs.</w:t>
      </w:r>
    </w:p>
    <w:p w14:paraId="35F67807" w14:textId="77777777" w:rsidR="00E22A84" w:rsidRPr="00C80AFA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C80AFA">
        <w:rPr>
          <w:rFonts w:cs="Times New Roman"/>
          <w:bCs/>
          <w:i/>
          <w:sz w:val="20"/>
          <w:szCs w:val="20"/>
          <w:lang w:val="lv-LV"/>
        </w:rPr>
        <w:t>Papildus informācija</w:t>
      </w:r>
    </w:p>
    <w:p w14:paraId="4B67728B" w14:textId="77777777" w:rsidR="00E22A84" w:rsidRPr="00C80AFA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C80AFA">
        <w:rPr>
          <w:rFonts w:cs="Times New Roman"/>
          <w:bCs/>
          <w:i/>
          <w:sz w:val="20"/>
          <w:szCs w:val="20"/>
          <w:lang w:val="lv-LV"/>
        </w:rPr>
        <w:t>LTAB sabiedrisko attiecību konsultants</w:t>
      </w:r>
    </w:p>
    <w:p w14:paraId="5AA21BB5" w14:textId="77777777" w:rsidR="00E22A84" w:rsidRPr="00C80AFA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C80AFA">
        <w:rPr>
          <w:rFonts w:cs="Times New Roman"/>
          <w:bCs/>
          <w:i/>
          <w:sz w:val="20"/>
          <w:szCs w:val="20"/>
          <w:lang w:val="lv-LV"/>
        </w:rPr>
        <w:t>Gints Lazdiņš</w:t>
      </w:r>
    </w:p>
    <w:p w14:paraId="69A6FE67" w14:textId="424FC530" w:rsidR="00617E51" w:rsidRPr="00C80AFA" w:rsidRDefault="00E22A84" w:rsidP="001A0DF5">
      <w:pPr>
        <w:spacing w:after="0" w:line="240" w:lineRule="auto"/>
        <w:jc w:val="right"/>
        <w:rPr>
          <w:sz w:val="20"/>
          <w:szCs w:val="20"/>
        </w:rPr>
      </w:pPr>
      <w:r w:rsidRPr="00C80AFA">
        <w:rPr>
          <w:rFonts w:cs="Times New Roman"/>
          <w:bCs/>
          <w:i/>
          <w:sz w:val="20"/>
          <w:szCs w:val="20"/>
          <w:lang w:val="lv-LV"/>
        </w:rPr>
        <w:t>Tālr: +371 29442282, E-</w:t>
      </w:r>
      <w:r w:rsidRPr="00C80AFA">
        <w:rPr>
          <w:rFonts w:cs="Times New Roman"/>
          <w:bCs/>
          <w:i/>
          <w:sz w:val="20"/>
          <w:szCs w:val="20"/>
        </w:rPr>
        <w:t>pasts: gints@olsen.lv</w:t>
      </w:r>
    </w:p>
    <w:sectPr w:rsidR="00617E51" w:rsidRPr="00C80AFA" w:rsidSect="00C80AFA">
      <w:headerReference w:type="default" r:id="rId8"/>
      <w:footerReference w:type="default" r:id="rId9"/>
      <w:pgSz w:w="11906" w:h="16838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88EC9" w14:textId="77777777" w:rsidR="00565E7F" w:rsidRDefault="00565E7F" w:rsidP="00C62AF7">
      <w:pPr>
        <w:spacing w:after="0" w:line="240" w:lineRule="auto"/>
      </w:pPr>
      <w:r>
        <w:separator/>
      </w:r>
    </w:p>
  </w:endnote>
  <w:endnote w:type="continuationSeparator" w:id="0">
    <w:p w14:paraId="616F82D3" w14:textId="77777777" w:rsidR="00565E7F" w:rsidRDefault="00565E7F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8F43163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9pt;height:19.6pt" o:ole="">
          <v:imagedata r:id="rId1" o:title=""/>
        </v:shape>
        <o:OLEObject Type="Embed" ProgID="CorelDraw.Graphic.17" ShapeID="_x0000_i1026" DrawAspect="Content" ObjectID="_1515926672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052A5" w14:textId="77777777" w:rsidR="00565E7F" w:rsidRDefault="00565E7F" w:rsidP="00C62AF7">
      <w:pPr>
        <w:spacing w:after="0" w:line="240" w:lineRule="auto"/>
      </w:pPr>
      <w:r>
        <w:separator/>
      </w:r>
    </w:p>
  </w:footnote>
  <w:footnote w:type="continuationSeparator" w:id="0">
    <w:p w14:paraId="701F892B" w14:textId="77777777" w:rsidR="00565E7F" w:rsidRDefault="00565E7F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.15pt" o:ole="">
          <v:imagedata r:id="rId1" o:title=""/>
        </v:shape>
        <o:OLEObject Type="Embed" ProgID="CorelDraw.Graphic.17" ShapeID="_x0000_i1025" DrawAspect="Content" ObjectID="_1515926671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382A"/>
    <w:rsid w:val="0000798F"/>
    <w:rsid w:val="0003095B"/>
    <w:rsid w:val="000533E0"/>
    <w:rsid w:val="00091DE0"/>
    <w:rsid w:val="000B5642"/>
    <w:rsid w:val="000D0D3C"/>
    <w:rsid w:val="000D2A57"/>
    <w:rsid w:val="000D3097"/>
    <w:rsid w:val="000F5106"/>
    <w:rsid w:val="00103B45"/>
    <w:rsid w:val="001222C6"/>
    <w:rsid w:val="0012264C"/>
    <w:rsid w:val="00143485"/>
    <w:rsid w:val="00144B7F"/>
    <w:rsid w:val="00157DD1"/>
    <w:rsid w:val="00171015"/>
    <w:rsid w:val="001A0DF5"/>
    <w:rsid w:val="001A5528"/>
    <w:rsid w:val="001C65E0"/>
    <w:rsid w:val="001D3B28"/>
    <w:rsid w:val="001D6AEF"/>
    <w:rsid w:val="001E57C6"/>
    <w:rsid w:val="00214B20"/>
    <w:rsid w:val="00221376"/>
    <w:rsid w:val="0027402E"/>
    <w:rsid w:val="002A1269"/>
    <w:rsid w:val="002D452E"/>
    <w:rsid w:val="002D5F23"/>
    <w:rsid w:val="00307AF2"/>
    <w:rsid w:val="00322690"/>
    <w:rsid w:val="003328A9"/>
    <w:rsid w:val="003353F6"/>
    <w:rsid w:val="00340E8E"/>
    <w:rsid w:val="003439F8"/>
    <w:rsid w:val="003662A8"/>
    <w:rsid w:val="00387404"/>
    <w:rsid w:val="003C0A9F"/>
    <w:rsid w:val="003D14B9"/>
    <w:rsid w:val="003E3ED9"/>
    <w:rsid w:val="003F3E0D"/>
    <w:rsid w:val="00400753"/>
    <w:rsid w:val="00403035"/>
    <w:rsid w:val="00403AB9"/>
    <w:rsid w:val="004231DF"/>
    <w:rsid w:val="00436B41"/>
    <w:rsid w:val="00441893"/>
    <w:rsid w:val="0044414B"/>
    <w:rsid w:val="00453FCE"/>
    <w:rsid w:val="004647F2"/>
    <w:rsid w:val="004660D8"/>
    <w:rsid w:val="00481423"/>
    <w:rsid w:val="004B7D60"/>
    <w:rsid w:val="004C32E0"/>
    <w:rsid w:val="004D366B"/>
    <w:rsid w:val="004F0C08"/>
    <w:rsid w:val="004F3819"/>
    <w:rsid w:val="004F39A9"/>
    <w:rsid w:val="00506CDA"/>
    <w:rsid w:val="00520799"/>
    <w:rsid w:val="005235CE"/>
    <w:rsid w:val="00523E8B"/>
    <w:rsid w:val="0053256E"/>
    <w:rsid w:val="00565E7F"/>
    <w:rsid w:val="005842C4"/>
    <w:rsid w:val="00590ADB"/>
    <w:rsid w:val="005919C4"/>
    <w:rsid w:val="005B0056"/>
    <w:rsid w:val="005B0F55"/>
    <w:rsid w:val="005B5F07"/>
    <w:rsid w:val="005E4497"/>
    <w:rsid w:val="005E69F5"/>
    <w:rsid w:val="005F56B1"/>
    <w:rsid w:val="00617E51"/>
    <w:rsid w:val="00646632"/>
    <w:rsid w:val="00647776"/>
    <w:rsid w:val="00684421"/>
    <w:rsid w:val="006A5358"/>
    <w:rsid w:val="006E3B65"/>
    <w:rsid w:val="006E75CA"/>
    <w:rsid w:val="00710389"/>
    <w:rsid w:val="00751698"/>
    <w:rsid w:val="00796E1D"/>
    <w:rsid w:val="007B39C1"/>
    <w:rsid w:val="007B58F9"/>
    <w:rsid w:val="007C78FE"/>
    <w:rsid w:val="008175EC"/>
    <w:rsid w:val="008219D6"/>
    <w:rsid w:val="008278BE"/>
    <w:rsid w:val="00847685"/>
    <w:rsid w:val="00864951"/>
    <w:rsid w:val="00881B76"/>
    <w:rsid w:val="0088773F"/>
    <w:rsid w:val="008C2224"/>
    <w:rsid w:val="008C2D0E"/>
    <w:rsid w:val="008D5D15"/>
    <w:rsid w:val="008F3EE4"/>
    <w:rsid w:val="00910678"/>
    <w:rsid w:val="00960BB9"/>
    <w:rsid w:val="00964DE9"/>
    <w:rsid w:val="0097040E"/>
    <w:rsid w:val="009722A2"/>
    <w:rsid w:val="00973D97"/>
    <w:rsid w:val="0099708E"/>
    <w:rsid w:val="009F12BD"/>
    <w:rsid w:val="00A122A4"/>
    <w:rsid w:val="00A44EEC"/>
    <w:rsid w:val="00A935B3"/>
    <w:rsid w:val="00AA11DB"/>
    <w:rsid w:val="00AB233A"/>
    <w:rsid w:val="00AB513F"/>
    <w:rsid w:val="00AC7029"/>
    <w:rsid w:val="00AD0FE3"/>
    <w:rsid w:val="00AD74F1"/>
    <w:rsid w:val="00AE1616"/>
    <w:rsid w:val="00AE3928"/>
    <w:rsid w:val="00AE522C"/>
    <w:rsid w:val="00B053B8"/>
    <w:rsid w:val="00B31BA0"/>
    <w:rsid w:val="00B367B9"/>
    <w:rsid w:val="00B369BD"/>
    <w:rsid w:val="00B44512"/>
    <w:rsid w:val="00B51D5C"/>
    <w:rsid w:val="00B60EA6"/>
    <w:rsid w:val="00BB17FB"/>
    <w:rsid w:val="00BB784E"/>
    <w:rsid w:val="00BC3AFA"/>
    <w:rsid w:val="00BC6C58"/>
    <w:rsid w:val="00BE1320"/>
    <w:rsid w:val="00BF2820"/>
    <w:rsid w:val="00C02116"/>
    <w:rsid w:val="00C108D5"/>
    <w:rsid w:val="00C12FDC"/>
    <w:rsid w:val="00C2008E"/>
    <w:rsid w:val="00C62AF7"/>
    <w:rsid w:val="00C7256F"/>
    <w:rsid w:val="00C80AFA"/>
    <w:rsid w:val="00C80E9A"/>
    <w:rsid w:val="00C9669C"/>
    <w:rsid w:val="00CC1D83"/>
    <w:rsid w:val="00CC37A5"/>
    <w:rsid w:val="00CD4857"/>
    <w:rsid w:val="00CE1DC8"/>
    <w:rsid w:val="00D05A63"/>
    <w:rsid w:val="00D356F9"/>
    <w:rsid w:val="00D47143"/>
    <w:rsid w:val="00D801BF"/>
    <w:rsid w:val="00DB37AC"/>
    <w:rsid w:val="00DC3690"/>
    <w:rsid w:val="00DF0ADC"/>
    <w:rsid w:val="00E22A84"/>
    <w:rsid w:val="00E23A71"/>
    <w:rsid w:val="00E349CD"/>
    <w:rsid w:val="00E40873"/>
    <w:rsid w:val="00E43F9F"/>
    <w:rsid w:val="00E60518"/>
    <w:rsid w:val="00E8391D"/>
    <w:rsid w:val="00E91AD3"/>
    <w:rsid w:val="00EB5821"/>
    <w:rsid w:val="00EC201D"/>
    <w:rsid w:val="00EF1667"/>
    <w:rsid w:val="00F2284B"/>
    <w:rsid w:val="00F3262F"/>
    <w:rsid w:val="00F46691"/>
    <w:rsid w:val="00F72968"/>
    <w:rsid w:val="00F872FD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B5E4-28E0-430C-861B-541063B6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Agnese Mezinska</cp:lastModifiedBy>
  <cp:revision>10</cp:revision>
  <dcterms:created xsi:type="dcterms:W3CDTF">2016-02-02T09:04:00Z</dcterms:created>
  <dcterms:modified xsi:type="dcterms:W3CDTF">2016-02-02T11:58:00Z</dcterms:modified>
</cp:coreProperties>
</file>