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3C11C857" w:rsidR="00B44512" w:rsidRPr="003D3C4C" w:rsidRDefault="003D3C4C" w:rsidP="005E4497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ru-RU"/>
        </w:rPr>
        <w:t>Сообщение для представителей СМИ</w:t>
      </w:r>
    </w:p>
    <w:p w14:paraId="50188D1F" w14:textId="6673903A" w:rsidR="00B44512" w:rsidRPr="003328A9" w:rsidRDefault="00BE1606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1</w:t>
      </w:r>
      <w:r w:rsidR="00C83C7A">
        <w:rPr>
          <w:b/>
          <w:lang w:val="lv-LV"/>
        </w:rPr>
        <w:t>8</w:t>
      </w:r>
      <w:r>
        <w:rPr>
          <w:b/>
          <w:lang w:val="lv-LV"/>
        </w:rPr>
        <w:t>.12</w:t>
      </w:r>
      <w:r w:rsidR="00B44512" w:rsidRPr="003328A9">
        <w:rPr>
          <w:b/>
          <w:lang w:val="lv-LV"/>
        </w:rPr>
        <w:t>.2015.</w:t>
      </w:r>
    </w:p>
    <w:p w14:paraId="58EAAF8F" w14:textId="77777777" w:rsidR="00B44512" w:rsidRPr="003328A9" w:rsidRDefault="00B44512" w:rsidP="008C2224">
      <w:pPr>
        <w:jc w:val="center"/>
        <w:rPr>
          <w:b/>
          <w:lang w:val="lv-LV"/>
        </w:rPr>
      </w:pPr>
    </w:p>
    <w:p w14:paraId="113F75F1" w14:textId="63C6DE83" w:rsidR="003D3C4C" w:rsidRPr="003D3C4C" w:rsidRDefault="003D3C4C" w:rsidP="00B367B9">
      <w:pPr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Самые главные события в отрасли ОСТА в 2015 году</w:t>
      </w:r>
    </w:p>
    <w:p w14:paraId="6914A3E4" w14:textId="222B2D8E" w:rsidR="00B05B9D" w:rsidRPr="00B05B9D" w:rsidRDefault="00B05B9D" w:rsidP="00B367B9">
      <w:pPr>
        <w:jc w:val="both"/>
        <w:rPr>
          <w:b/>
          <w:lang w:val="ru-RU"/>
        </w:rPr>
      </w:pPr>
      <w:bookmarkStart w:id="0" w:name="_GoBack"/>
      <w:r>
        <w:rPr>
          <w:b/>
          <w:lang w:val="ru-RU"/>
        </w:rPr>
        <w:t xml:space="preserve">С приближением окончания 2015 года Латвийское бюро страховщиков Транспортных средств (далее - </w:t>
      </w:r>
      <w:r w:rsidRPr="005A48A2">
        <w:rPr>
          <w:b/>
          <w:lang w:val="lv-LV"/>
        </w:rPr>
        <w:t>LTAB)</w:t>
      </w:r>
      <w:r>
        <w:rPr>
          <w:b/>
          <w:lang w:val="ru-RU"/>
        </w:rPr>
        <w:t xml:space="preserve"> обобщило информацию о самых важных событиях</w:t>
      </w:r>
      <w:r w:rsidR="006C661F">
        <w:rPr>
          <w:b/>
          <w:lang w:val="ru-RU"/>
        </w:rPr>
        <w:t xml:space="preserve"> этого года, повлиявш</w:t>
      </w:r>
      <w:r>
        <w:rPr>
          <w:b/>
          <w:lang w:val="ru-RU"/>
        </w:rPr>
        <w:t xml:space="preserve">их на работу </w:t>
      </w:r>
      <w:r w:rsidRPr="005A48A2">
        <w:rPr>
          <w:b/>
          <w:lang w:val="lv-LV"/>
        </w:rPr>
        <w:t>LTAB</w:t>
      </w:r>
      <w:r>
        <w:rPr>
          <w:b/>
          <w:lang w:val="ru-RU"/>
        </w:rPr>
        <w:t xml:space="preserve"> и отрасли ОСТА в целом. «Хотя общие финансовые показатели отрасли в этом году не были оптимистичны, рынок ОСТА продолжает развиваться, кроме того</w:t>
      </w:r>
      <w:r w:rsidR="006C661F">
        <w:rPr>
          <w:b/>
          <w:lang w:val="ru-RU"/>
        </w:rPr>
        <w:t>,</w:t>
      </w:r>
      <w:r>
        <w:rPr>
          <w:b/>
          <w:lang w:val="ru-RU"/>
        </w:rPr>
        <w:t xml:space="preserve"> произошел ряд событий, которые уже в будущем году повлияют на рынок ОСТА», - указывает председатель правления </w:t>
      </w:r>
      <w:r w:rsidRPr="005A48A2">
        <w:rPr>
          <w:b/>
          <w:lang w:val="lv-LV"/>
        </w:rPr>
        <w:t>LTAB</w:t>
      </w:r>
      <w:r>
        <w:rPr>
          <w:b/>
          <w:lang w:val="ru-RU"/>
        </w:rPr>
        <w:t xml:space="preserve"> Юрис Стенгревицс.</w:t>
      </w:r>
      <w:bookmarkEnd w:id="0"/>
      <w:r>
        <w:rPr>
          <w:b/>
          <w:lang w:val="ru-RU"/>
        </w:rPr>
        <w:t xml:space="preserve">    </w:t>
      </w:r>
    </w:p>
    <w:p w14:paraId="4D155E15" w14:textId="62DA3215" w:rsidR="000F4FC5" w:rsidRPr="005A48A2" w:rsidRDefault="005B6255" w:rsidP="000F4FC5">
      <w:pPr>
        <w:jc w:val="both"/>
        <w:rPr>
          <w:u w:val="single"/>
          <w:lang w:val="lv-LV"/>
        </w:rPr>
      </w:pPr>
      <w:r>
        <w:rPr>
          <w:u w:val="single"/>
          <w:lang w:val="ru-RU"/>
        </w:rPr>
        <w:t>Продвигаются</w:t>
      </w:r>
      <w:r w:rsidR="00C431BD">
        <w:rPr>
          <w:u w:val="single"/>
          <w:lang w:val="ru-RU"/>
        </w:rPr>
        <w:t xml:space="preserve"> </w:t>
      </w:r>
      <w:r w:rsidR="006C661F">
        <w:rPr>
          <w:u w:val="single"/>
          <w:lang w:val="ru-RU"/>
        </w:rPr>
        <w:t>поправки в закон об ОС</w:t>
      </w:r>
      <w:r w:rsidR="00C431BD">
        <w:rPr>
          <w:u w:val="single"/>
          <w:lang w:val="ru-RU"/>
        </w:rPr>
        <w:t>Т</w:t>
      </w:r>
      <w:r w:rsidR="006C661F">
        <w:rPr>
          <w:u w:val="single"/>
          <w:lang w:val="ru-RU"/>
        </w:rPr>
        <w:t>А</w:t>
      </w:r>
      <w:r w:rsidR="00C431BD">
        <w:rPr>
          <w:u w:val="single"/>
          <w:lang w:val="ru-RU"/>
        </w:rPr>
        <w:t xml:space="preserve"> </w:t>
      </w:r>
    </w:p>
    <w:p w14:paraId="57E1C14E" w14:textId="5C17106A" w:rsidR="00C431BD" w:rsidRDefault="00C431BD" w:rsidP="000F4FC5">
      <w:pPr>
        <w:jc w:val="both"/>
        <w:rPr>
          <w:lang w:val="ru-RU"/>
        </w:rPr>
      </w:pPr>
      <w:r>
        <w:rPr>
          <w:lang w:val="ru-RU"/>
        </w:rPr>
        <w:t xml:space="preserve">Подготовленные поправки, разработанные страховщиками и рассмотренные консультативным советом ОСТА </w:t>
      </w:r>
      <w:r w:rsidR="005B6255">
        <w:rPr>
          <w:lang w:val="ru-RU"/>
        </w:rPr>
        <w:t>М</w:t>
      </w:r>
      <w:r>
        <w:rPr>
          <w:lang w:val="ru-RU"/>
        </w:rPr>
        <w:t xml:space="preserve">инистерства </w:t>
      </w:r>
      <w:r w:rsidR="005B6255">
        <w:rPr>
          <w:lang w:val="ru-RU"/>
        </w:rPr>
        <w:t>ф</w:t>
      </w:r>
      <w:r>
        <w:rPr>
          <w:lang w:val="ru-RU"/>
        </w:rPr>
        <w:t>инансов, предусматривают ряд изменений и уточнений в законе ОСТА. Одно из наиболее существенных предложений касается использования торгового номера для зарегистрированных в Латвии транспортных средств, которые отданы в продажу. Поправки предусматривают, что комерсант</w:t>
      </w:r>
      <w:r w:rsidR="006C661F">
        <w:rPr>
          <w:lang w:val="ru-RU"/>
        </w:rPr>
        <w:t>,</w:t>
      </w:r>
      <w:r>
        <w:rPr>
          <w:lang w:val="ru-RU"/>
        </w:rPr>
        <w:t xml:space="preserve"> принявший транспортное средство для торговли, должен быть ответственен за страхование ОСТА с первого же дня, если лицо, </w:t>
      </w:r>
      <w:r w:rsidR="006C661F">
        <w:rPr>
          <w:lang w:val="ru-RU"/>
        </w:rPr>
        <w:t>отдавшее</w:t>
      </w:r>
      <w:r>
        <w:rPr>
          <w:lang w:val="ru-RU"/>
        </w:rPr>
        <w:t xml:space="preserve"> транспортное ср</w:t>
      </w:r>
      <w:r w:rsidR="006C661F">
        <w:rPr>
          <w:lang w:val="ru-RU"/>
        </w:rPr>
        <w:t xml:space="preserve">едство в продажу, </w:t>
      </w:r>
      <w:r>
        <w:rPr>
          <w:lang w:val="ru-RU"/>
        </w:rPr>
        <w:t xml:space="preserve">не дало согласие на тестовый заезд автомобиля. Также предусмотрено уточнить в законе ОСТА норму, определяющую, что ОСТА необходима и тем транспортным средствам, которые ездят по лесу, полю и другим местам, где возможен проезд. В поданом проекте поправок также есть предложение исключить из закона ОСТА регулу, предусматривающую, что из Гарантийного фонда ОСТА компенсируются скидки на страховки ОСТА для инвалидов и </w:t>
      </w:r>
      <w:r w:rsidR="00EB17EB">
        <w:rPr>
          <w:lang w:val="ru-RU"/>
        </w:rPr>
        <w:t>сельскохозяйственников</w:t>
      </w:r>
      <w:r>
        <w:rPr>
          <w:lang w:val="ru-RU"/>
        </w:rPr>
        <w:t>, а также ряд других уточнений, дополнений и улучшен</w:t>
      </w:r>
      <w:r w:rsidR="006C661F">
        <w:rPr>
          <w:lang w:val="ru-RU"/>
        </w:rPr>
        <w:t>и</w:t>
      </w:r>
      <w:r>
        <w:rPr>
          <w:lang w:val="ru-RU"/>
        </w:rPr>
        <w:t xml:space="preserve">й. </w:t>
      </w:r>
    </w:p>
    <w:p w14:paraId="1F6DA631" w14:textId="314A1E84" w:rsidR="00ED1F40" w:rsidRPr="005A48A2" w:rsidRDefault="00DE220A" w:rsidP="008C2224">
      <w:pPr>
        <w:jc w:val="both"/>
        <w:rPr>
          <w:u w:val="single"/>
          <w:lang w:val="lv-LV"/>
        </w:rPr>
      </w:pPr>
      <w:r w:rsidRPr="00DE220A">
        <w:rPr>
          <w:u w:val="single"/>
          <w:lang w:val="ru-RU"/>
        </w:rPr>
        <w:t>Изменения среди участников рынка ОСТА</w:t>
      </w:r>
      <w:r>
        <w:rPr>
          <w:lang w:val="ru-RU"/>
        </w:rPr>
        <w:t xml:space="preserve"> </w:t>
      </w:r>
    </w:p>
    <w:p w14:paraId="03818B51" w14:textId="34D21272" w:rsidR="00DE220A" w:rsidRPr="00550B88" w:rsidRDefault="00DE220A" w:rsidP="00181352">
      <w:pPr>
        <w:jc w:val="both"/>
        <w:rPr>
          <w:lang w:val="ru-RU"/>
        </w:rPr>
      </w:pPr>
      <w:r>
        <w:rPr>
          <w:lang w:val="ru-RU"/>
        </w:rPr>
        <w:t xml:space="preserve">Число участников рынка ОСТА в 2015 году не изменилось, в общем </w:t>
      </w:r>
      <w:r w:rsidR="00550B88">
        <w:rPr>
          <w:lang w:val="ru-RU"/>
        </w:rPr>
        <w:t>в отрасли работает 5 страховых акционерных обществ и 5 филиалов зарубежных страховых акционерных обществ. Однако следует отметить, что в течение года все же произошли изменения –</w:t>
      </w:r>
      <w:r w:rsidR="00EE53CE">
        <w:rPr>
          <w:lang w:val="ru-RU"/>
        </w:rPr>
        <w:t xml:space="preserve"> </w:t>
      </w:r>
      <w:r w:rsidR="00550B88">
        <w:rPr>
          <w:lang w:val="ru-RU"/>
        </w:rPr>
        <w:t xml:space="preserve">в первой половине этого года </w:t>
      </w:r>
      <w:r w:rsidR="00550B88" w:rsidRPr="00ED1F40">
        <w:rPr>
          <w:lang w:val="lv-LV"/>
        </w:rPr>
        <w:t>AAS "Balta"</w:t>
      </w:r>
      <w:r w:rsidR="00550B88">
        <w:rPr>
          <w:lang w:val="ru-RU"/>
        </w:rPr>
        <w:t xml:space="preserve"> изменило свою визуальную </w:t>
      </w:r>
      <w:r w:rsidR="00EE53CE">
        <w:rPr>
          <w:lang w:val="ru-RU"/>
        </w:rPr>
        <w:t>идентичность, что связано со с</w:t>
      </w:r>
      <w:r w:rsidR="00550B88">
        <w:rPr>
          <w:lang w:val="ru-RU"/>
        </w:rPr>
        <w:t xml:space="preserve">меной владельца в конце июня 2014 года, когда акционером </w:t>
      </w:r>
      <w:r w:rsidR="00550B88" w:rsidRPr="00ED1F40">
        <w:rPr>
          <w:lang w:val="lv-LV"/>
        </w:rPr>
        <w:t>AAS "Balta"</w:t>
      </w:r>
      <w:r w:rsidR="00550B88">
        <w:rPr>
          <w:lang w:val="ru-RU"/>
        </w:rPr>
        <w:t xml:space="preserve"> стал польский страховщик </w:t>
      </w:r>
      <w:r w:rsidR="00550B88" w:rsidRPr="00ED1F40">
        <w:rPr>
          <w:lang w:val="lv-LV"/>
        </w:rPr>
        <w:t>“PZU grupa”.</w:t>
      </w:r>
      <w:r w:rsidR="00550B88">
        <w:rPr>
          <w:lang w:val="ru-RU"/>
        </w:rPr>
        <w:t xml:space="preserve"> Также в этом году закончился начатый в прошлом году процесс реорганизации </w:t>
      </w:r>
      <w:r w:rsidR="00550B88">
        <w:rPr>
          <w:lang w:val="lv-LV"/>
        </w:rPr>
        <w:t>AAS “BTA”</w:t>
      </w:r>
      <w:r w:rsidR="00550B88">
        <w:rPr>
          <w:lang w:val="ru-RU"/>
        </w:rPr>
        <w:t>, предусма</w:t>
      </w:r>
      <w:r w:rsidR="00EE53CE">
        <w:rPr>
          <w:lang w:val="ru-RU"/>
        </w:rPr>
        <w:t>тривающий разделение предприятия согласно географиче</w:t>
      </w:r>
      <w:r w:rsidR="00550B88">
        <w:rPr>
          <w:lang w:val="ru-RU"/>
        </w:rPr>
        <w:t xml:space="preserve">скому разделению бизнеса. С 1 июля 2015 года страховые услуги в Латвии, Литве и Эстонии оказывает новая компания - </w:t>
      </w:r>
      <w:r w:rsidR="00550B88" w:rsidRPr="00C83C7A">
        <w:rPr>
          <w:lang w:val="lv-LV"/>
        </w:rPr>
        <w:t>AAS "BTA Baltic Insurance Company",</w:t>
      </w:r>
      <w:r w:rsidR="00550B88">
        <w:rPr>
          <w:lang w:val="ru-RU"/>
        </w:rPr>
        <w:t xml:space="preserve"> в свою очередь </w:t>
      </w:r>
      <w:r w:rsidR="00550B88" w:rsidRPr="00C83C7A">
        <w:rPr>
          <w:lang w:val="lv-LV"/>
        </w:rPr>
        <w:t>"BTA Insurance Company" SE</w:t>
      </w:r>
      <w:r w:rsidR="00550B88">
        <w:rPr>
          <w:lang w:val="ru-RU"/>
        </w:rPr>
        <w:t xml:space="preserve"> продолжает работать в других европейских странах. В июле, в свою очередь, австрийская компания </w:t>
      </w:r>
      <w:r w:rsidR="00550B88" w:rsidRPr="005A48A2">
        <w:rPr>
          <w:lang w:val="lv-LV"/>
        </w:rPr>
        <w:t>"Vienna Insurance Group"</w:t>
      </w:r>
      <w:r w:rsidR="00550B88">
        <w:rPr>
          <w:lang w:val="ru-RU"/>
        </w:rPr>
        <w:t xml:space="preserve"> заключи</w:t>
      </w:r>
      <w:r w:rsidR="00EE53CE">
        <w:rPr>
          <w:lang w:val="ru-RU"/>
        </w:rPr>
        <w:t>ла договор о приобретении 100%</w:t>
      </w:r>
      <w:r w:rsidR="00550B88">
        <w:rPr>
          <w:lang w:val="ru-RU"/>
        </w:rPr>
        <w:t xml:space="preserve"> капитала </w:t>
      </w:r>
      <w:r w:rsidR="00550B88" w:rsidRPr="005A48A2">
        <w:rPr>
          <w:lang w:val="lv-LV"/>
        </w:rPr>
        <w:t>AAS "Baltikums"</w:t>
      </w:r>
      <w:r w:rsidR="00550B88">
        <w:rPr>
          <w:lang w:val="ru-RU"/>
        </w:rPr>
        <w:t xml:space="preserve">. Сделка была завершена в октябре после получения разрешения компетентных инстанций, и впредь страховщик продолжит работу в качестве </w:t>
      </w:r>
      <w:r w:rsidR="00550B88" w:rsidRPr="005A48A2">
        <w:rPr>
          <w:lang w:val="lv-LV"/>
        </w:rPr>
        <w:t>AAS "Baltikums Vienna Insurance Group".</w:t>
      </w:r>
      <w:r w:rsidR="00550B88">
        <w:rPr>
          <w:lang w:val="ru-RU"/>
        </w:rPr>
        <w:t xml:space="preserve"> </w:t>
      </w:r>
      <w:r w:rsidR="0080780A">
        <w:rPr>
          <w:lang w:val="ru-RU"/>
        </w:rPr>
        <w:t>Уже произошедшие на данный момент изменения, а также перемены в процессе, свидетельс</w:t>
      </w:r>
      <w:r w:rsidR="00EE53CE">
        <w:rPr>
          <w:lang w:val="ru-RU"/>
        </w:rPr>
        <w:t>т</w:t>
      </w:r>
      <w:r w:rsidR="0080780A">
        <w:rPr>
          <w:lang w:val="ru-RU"/>
        </w:rPr>
        <w:t xml:space="preserve">вуют, что рынок меняется, развивается и не исключено, что и в будущем произойдут какие-то перемены. </w:t>
      </w:r>
    </w:p>
    <w:p w14:paraId="303C95F1" w14:textId="761A4FD8" w:rsidR="00B015D2" w:rsidRPr="005A48A2" w:rsidRDefault="0080780A" w:rsidP="008C2224">
      <w:pPr>
        <w:jc w:val="both"/>
        <w:rPr>
          <w:u w:val="single"/>
          <w:lang w:val="lv-LV"/>
        </w:rPr>
      </w:pPr>
      <w:r>
        <w:rPr>
          <w:u w:val="single"/>
          <w:lang w:val="ru-RU"/>
        </w:rPr>
        <w:t>Уменьшился объем Гарантийного фонда</w:t>
      </w:r>
    </w:p>
    <w:p w14:paraId="1E5D84B6" w14:textId="7E5AF89F" w:rsidR="0080780A" w:rsidRPr="0080780A" w:rsidRDefault="0080780A" w:rsidP="008C2224">
      <w:pPr>
        <w:jc w:val="both"/>
        <w:rPr>
          <w:lang w:val="ru-RU"/>
        </w:rPr>
      </w:pPr>
      <w:r>
        <w:rPr>
          <w:lang w:val="ru-RU"/>
        </w:rPr>
        <w:t xml:space="preserve">Несмотря на то, что за 11 месяцев этого года в Гарантийный фонд </w:t>
      </w:r>
      <w:r w:rsidRPr="00181352">
        <w:rPr>
          <w:lang w:val="lv-LV"/>
        </w:rPr>
        <w:t>LTAB</w:t>
      </w:r>
      <w:r>
        <w:rPr>
          <w:lang w:val="ru-RU"/>
        </w:rPr>
        <w:t xml:space="preserve"> </w:t>
      </w:r>
      <w:r w:rsidR="005B6255">
        <w:rPr>
          <w:lang w:val="ru-RU"/>
        </w:rPr>
        <w:t xml:space="preserve">удалось вернуть </w:t>
      </w:r>
      <w:r>
        <w:rPr>
          <w:lang w:val="ru-RU"/>
        </w:rPr>
        <w:t xml:space="preserve">1 миллион 248 тысяч евро (в том числе выплаты </w:t>
      </w:r>
      <w:r>
        <w:rPr>
          <w:lang w:val="lv-LV"/>
        </w:rPr>
        <w:t>LAAS „Balva”</w:t>
      </w:r>
      <w:r>
        <w:rPr>
          <w:lang w:val="ru-RU"/>
        </w:rPr>
        <w:t xml:space="preserve">, </w:t>
      </w:r>
      <w:r w:rsidR="00EE53CE">
        <w:rPr>
          <w:lang w:val="ru-RU"/>
        </w:rPr>
        <w:t>исполняющей</w:t>
      </w:r>
      <w:r>
        <w:rPr>
          <w:lang w:val="ru-RU"/>
        </w:rPr>
        <w:t xml:space="preserve"> свои обязательства перед Гарантийным фондом), тенденции 2015 года и события на финансовом рынке и рынке ОСТА повлияли на то, что размер Гарантийного </w:t>
      </w:r>
      <w:r>
        <w:rPr>
          <w:lang w:val="ru-RU"/>
        </w:rPr>
        <w:lastRenderedPageBreak/>
        <w:t xml:space="preserve">фонда существенно уменьшился. Если в 2010 году размер Гарантийного фонда составлял 26,26 миллионов евро, в 2014 году – 23,1 миллион евро, то за 11 месяцев этого года он уменьшился еще на 7,7%. Если </w:t>
      </w:r>
      <w:r w:rsidR="00EE53CE">
        <w:rPr>
          <w:lang w:val="ru-RU"/>
        </w:rPr>
        <w:t>Гарантийный фонд уменьшит</w:t>
      </w:r>
      <w:r>
        <w:rPr>
          <w:lang w:val="ru-RU"/>
        </w:rPr>
        <w:t>ся до суммы меньшей, чем 20 миллионов евро,</w:t>
      </w:r>
      <w:r w:rsidR="00EE53CE">
        <w:rPr>
          <w:lang w:val="ru-RU"/>
        </w:rPr>
        <w:t xml:space="preserve"> что, беря во внимание</w:t>
      </w:r>
      <w:r>
        <w:rPr>
          <w:lang w:val="ru-RU"/>
        </w:rPr>
        <w:t xml:space="preserve"> имеющиеся тенденции и прогнозы, возможно, произойдет уже в следующем году, то страховщикам придется совершать регулярные перечисления в Гарантийный фонд от сто</w:t>
      </w:r>
      <w:r w:rsidR="00EE53CE">
        <w:rPr>
          <w:lang w:val="ru-RU"/>
        </w:rPr>
        <w:t>и</w:t>
      </w:r>
      <w:r>
        <w:rPr>
          <w:lang w:val="ru-RU"/>
        </w:rPr>
        <w:t xml:space="preserve">мости каждого проданного полиса ОСТА. </w:t>
      </w:r>
    </w:p>
    <w:p w14:paraId="1F800FFA" w14:textId="493FD936" w:rsidR="00A42D27" w:rsidRPr="005A48A2" w:rsidRDefault="00447588" w:rsidP="00A42D27">
      <w:pPr>
        <w:jc w:val="both"/>
        <w:rPr>
          <w:u w:val="single"/>
          <w:lang w:val="lv-LV"/>
        </w:rPr>
      </w:pPr>
      <w:r>
        <w:rPr>
          <w:u w:val="single"/>
          <w:lang w:val="ru-RU"/>
        </w:rPr>
        <w:t xml:space="preserve">Продолжается процесс ликвидации </w:t>
      </w:r>
      <w:r w:rsidR="00A42D27" w:rsidRPr="005A48A2">
        <w:rPr>
          <w:u w:val="single"/>
          <w:lang w:val="lv-LV"/>
        </w:rPr>
        <w:t xml:space="preserve">LAAS “Balva” </w:t>
      </w:r>
    </w:p>
    <w:p w14:paraId="317CD212" w14:textId="22B1FEAF" w:rsidR="00447588" w:rsidRPr="00447588" w:rsidRDefault="00447588" w:rsidP="00A42D27">
      <w:pPr>
        <w:jc w:val="both"/>
        <w:rPr>
          <w:lang w:val="ru-RU"/>
        </w:rPr>
      </w:pPr>
      <w:r w:rsidRPr="00447588">
        <w:rPr>
          <w:lang w:val="lv-LV"/>
        </w:rPr>
        <w:t xml:space="preserve">Ликвидируемая </w:t>
      </w:r>
      <w:r w:rsidR="00EE53CE">
        <w:rPr>
          <w:lang w:val="lv-LV"/>
        </w:rPr>
        <w:t>L</w:t>
      </w:r>
      <w:r w:rsidRPr="005A48A2">
        <w:rPr>
          <w:lang w:val="lv-LV"/>
        </w:rPr>
        <w:t>AAS „BALVA”,</w:t>
      </w:r>
      <w:r>
        <w:rPr>
          <w:lang w:val="ru-RU"/>
        </w:rPr>
        <w:t xml:space="preserve"> которой Комиссия рынка финансов и капитала в 2013 году аннулировала все лицензии, в том числе на продажу ОСТА, была исключена из </w:t>
      </w:r>
      <w:r w:rsidRPr="005A48A2">
        <w:rPr>
          <w:lang w:val="lv-LV"/>
        </w:rPr>
        <w:t>LTAB</w:t>
      </w:r>
      <w:r>
        <w:rPr>
          <w:lang w:val="ru-RU"/>
        </w:rPr>
        <w:t xml:space="preserve"> 25 октября 2013 года. Пока </w:t>
      </w:r>
      <w:r w:rsidRPr="005A48A2">
        <w:rPr>
          <w:lang w:val="lv-LV"/>
        </w:rPr>
        <w:t>LAAS „BALVA”</w:t>
      </w:r>
      <w:r>
        <w:rPr>
          <w:lang w:val="ru-RU"/>
        </w:rPr>
        <w:t xml:space="preserve"> находится в процессе ликвидации, за ее деятельностью следит ликвидатор, однако о</w:t>
      </w:r>
      <w:r w:rsidR="00EE53CE">
        <w:rPr>
          <w:lang w:val="ru-RU"/>
        </w:rPr>
        <w:t>б</w:t>
      </w:r>
      <w:r>
        <w:rPr>
          <w:lang w:val="ru-RU"/>
        </w:rPr>
        <w:t xml:space="preserve">щество продолжает частично выполнять свои обязанности перед клиентами и партнерами. Гарантийный фонд </w:t>
      </w:r>
      <w:r w:rsidRPr="005A48A2">
        <w:rPr>
          <w:lang w:val="lv-LV"/>
        </w:rPr>
        <w:t>LTAB</w:t>
      </w:r>
      <w:r>
        <w:rPr>
          <w:lang w:val="ru-RU"/>
        </w:rPr>
        <w:t xml:space="preserve">, в свою очередь, продолжает выплачивать компенсации вместо </w:t>
      </w:r>
      <w:r w:rsidRPr="005A48A2">
        <w:rPr>
          <w:lang w:val="lv-LV"/>
        </w:rPr>
        <w:t>LAAS „Balva”</w:t>
      </w:r>
      <w:r>
        <w:rPr>
          <w:lang w:val="ru-RU"/>
        </w:rPr>
        <w:t xml:space="preserve"> в случае ДТП, произошедших за рубежом</w:t>
      </w:r>
      <w:r w:rsidR="00983731">
        <w:rPr>
          <w:lang w:val="ru-RU"/>
        </w:rPr>
        <w:t>. В течение 11 месяцев этого года был</w:t>
      </w:r>
      <w:r w:rsidR="005B6255">
        <w:rPr>
          <w:lang w:val="ru-RU"/>
        </w:rPr>
        <w:t>о</w:t>
      </w:r>
      <w:r w:rsidR="00983731">
        <w:rPr>
          <w:lang w:val="ru-RU"/>
        </w:rPr>
        <w:t xml:space="preserve"> выплачен</w:t>
      </w:r>
      <w:r w:rsidR="005B6255">
        <w:rPr>
          <w:lang w:val="ru-RU"/>
        </w:rPr>
        <w:t>о</w:t>
      </w:r>
      <w:r w:rsidR="00983731">
        <w:rPr>
          <w:lang w:val="ru-RU"/>
        </w:rPr>
        <w:t xml:space="preserve"> уже 1 233 093 евро. </w:t>
      </w:r>
    </w:p>
    <w:p w14:paraId="6F2953C8" w14:textId="0300DA49" w:rsidR="00A42D27" w:rsidRPr="00181352" w:rsidRDefault="00983731" w:rsidP="008C2224">
      <w:pPr>
        <w:jc w:val="both"/>
        <w:rPr>
          <w:u w:val="single"/>
          <w:lang w:val="lv-LV"/>
        </w:rPr>
      </w:pPr>
      <w:r>
        <w:rPr>
          <w:u w:val="single"/>
          <w:lang w:val="ru-RU"/>
        </w:rPr>
        <w:t xml:space="preserve">Возмещение ущерба </w:t>
      </w:r>
      <w:r w:rsidR="005B6255">
        <w:rPr>
          <w:u w:val="single"/>
          <w:lang w:val="ru-RU"/>
        </w:rPr>
        <w:t xml:space="preserve">лицам, </w:t>
      </w:r>
      <w:r>
        <w:rPr>
          <w:u w:val="single"/>
          <w:lang w:val="ru-RU"/>
        </w:rPr>
        <w:t xml:space="preserve">пострадавшим в ДТП </w:t>
      </w:r>
    </w:p>
    <w:p w14:paraId="778626EA" w14:textId="120C6078" w:rsidR="00983731" w:rsidRPr="00983731" w:rsidRDefault="00983731" w:rsidP="008C2224">
      <w:pPr>
        <w:jc w:val="both"/>
        <w:rPr>
          <w:lang w:val="ru-RU"/>
        </w:rPr>
      </w:pPr>
      <w:r>
        <w:rPr>
          <w:lang w:val="ru-RU"/>
        </w:rPr>
        <w:t>Уходящий год однозначно можно оценить как год перемен в сфере компенсаций ущерба пострадавшим лицам. Нельзя не упомянуть принятое в конце прошлого года решение Конституционнго суда и исходящей из него закономерности, актуальным</w:t>
      </w:r>
      <w:r w:rsidR="00133D5B">
        <w:rPr>
          <w:lang w:val="ru-RU"/>
        </w:rPr>
        <w:t xml:space="preserve"> все еще</w:t>
      </w:r>
      <w:r>
        <w:rPr>
          <w:lang w:val="ru-RU"/>
        </w:rPr>
        <w:t xml:space="preserve"> остается </w:t>
      </w:r>
      <w:r w:rsidR="00133D5B">
        <w:rPr>
          <w:lang w:val="ru-RU"/>
        </w:rPr>
        <w:t xml:space="preserve">вопрос об ответственности государства. В практику введены новые правила Кабинета министров, определяющие порядок совершения выплат </w:t>
      </w:r>
      <w:r w:rsidR="005B6255">
        <w:rPr>
          <w:lang w:val="ru-RU"/>
        </w:rPr>
        <w:t xml:space="preserve">лицам, </w:t>
      </w:r>
      <w:r w:rsidR="00133D5B">
        <w:rPr>
          <w:lang w:val="ru-RU"/>
        </w:rPr>
        <w:t xml:space="preserve">пострадавшим в ДТП, компенсируя нематериальный ущерб как самим пострадавшим, так и их близким. Статистика этих 11 месяцев свидетельствует, что, относительно общего объема выплаченных компенсаций, увеличилась доля компенсаций причиненного лицам нематериального ущерба. Эта тенденция демонстрирует, что в сознании людей укрепляется уверенность, что страховка ОСТА обеспечивает компенсацию не только ремонта автомобиля, но и причиненного лицу нематериального ущерба. </w:t>
      </w:r>
    </w:p>
    <w:p w14:paraId="3CD8E3EB" w14:textId="765AC029" w:rsidR="00950993" w:rsidRPr="005A48A2" w:rsidRDefault="00133D5B" w:rsidP="00950993">
      <w:pPr>
        <w:jc w:val="both"/>
        <w:rPr>
          <w:u w:val="single"/>
          <w:lang w:val="lv-LV"/>
        </w:rPr>
      </w:pPr>
      <w:r>
        <w:rPr>
          <w:u w:val="single"/>
          <w:lang w:val="ru-RU"/>
        </w:rPr>
        <w:t xml:space="preserve">В Риге прошла международная конференция страховщиков ОСТА высокого уровня </w:t>
      </w:r>
    </w:p>
    <w:p w14:paraId="5213D7E9" w14:textId="45AB664D" w:rsidR="00133D5B" w:rsidRPr="00133D5B" w:rsidRDefault="00133D5B" w:rsidP="00950993">
      <w:pPr>
        <w:jc w:val="both"/>
        <w:rPr>
          <w:lang w:val="ru-RU"/>
        </w:rPr>
      </w:pPr>
      <w:r>
        <w:rPr>
          <w:lang w:val="ru-RU"/>
        </w:rPr>
        <w:t>В ноябре в Риге прошла 11 ежегодн</w:t>
      </w:r>
      <w:r w:rsidR="00EE53CE">
        <w:rPr>
          <w:lang w:val="ru-RU"/>
        </w:rPr>
        <w:t>а</w:t>
      </w:r>
      <w:r>
        <w:rPr>
          <w:lang w:val="ru-RU"/>
        </w:rPr>
        <w:t xml:space="preserve">я конференция </w:t>
      </w:r>
      <w:r w:rsidR="00EE53CE">
        <w:rPr>
          <w:lang w:val="ru-RU"/>
        </w:rPr>
        <w:t xml:space="preserve">для </w:t>
      </w:r>
      <w:r w:rsidRPr="00133D5B">
        <w:rPr>
          <w:lang w:val="ru-RU"/>
        </w:rPr>
        <w:t>Компенсирующих учреждений, Гарантийных фондов и Информационных центров стран Европейской Экономической зоны</w:t>
      </w:r>
      <w:r>
        <w:rPr>
          <w:lang w:val="ru-RU"/>
        </w:rPr>
        <w:t xml:space="preserve">, которую организовал </w:t>
      </w:r>
      <w:r w:rsidRPr="005A48A2">
        <w:rPr>
          <w:lang w:val="lv-LV"/>
        </w:rPr>
        <w:t>LTAB</w:t>
      </w:r>
      <w:r>
        <w:rPr>
          <w:lang w:val="ru-RU"/>
        </w:rPr>
        <w:t xml:space="preserve"> в сотрудничестве с </w:t>
      </w:r>
      <w:r>
        <w:rPr>
          <w:rFonts w:ascii="Calibri" w:hAnsi="Calibri"/>
          <w:sz w:val="23"/>
          <w:szCs w:val="23"/>
          <w:lang w:val="ru-RU"/>
        </w:rPr>
        <w:t xml:space="preserve">советом Бюро системы Зеленой карты. Конференция для страховщиков такого масштаба впервые прошла в Балтии и ее посетило почти 80 делегатов. Цель конференции – способствовать </w:t>
      </w:r>
      <w:r w:rsidR="00703CC6">
        <w:rPr>
          <w:rFonts w:ascii="Calibri" w:hAnsi="Calibri"/>
          <w:sz w:val="23"/>
          <w:szCs w:val="23"/>
          <w:lang w:val="ru-RU"/>
        </w:rPr>
        <w:t>сотрудничеству</w:t>
      </w:r>
      <w:r>
        <w:rPr>
          <w:rFonts w:ascii="Calibri" w:hAnsi="Calibri"/>
          <w:sz w:val="23"/>
          <w:szCs w:val="23"/>
          <w:lang w:val="ru-RU"/>
        </w:rPr>
        <w:t xml:space="preserve"> </w:t>
      </w:r>
      <w:r w:rsidR="00703CC6">
        <w:rPr>
          <w:lang w:val="ru-RU"/>
        </w:rPr>
        <w:t>к</w:t>
      </w:r>
      <w:r w:rsidR="00703CC6" w:rsidRPr="00133D5B">
        <w:rPr>
          <w:lang w:val="ru-RU"/>
        </w:rPr>
        <w:t>омпенсирующих учреждений, Гарантийных фондов и Информационных центров</w:t>
      </w:r>
      <w:r w:rsidR="00703CC6" w:rsidRPr="00703CC6">
        <w:rPr>
          <w:lang w:val="ru-RU"/>
        </w:rPr>
        <w:t xml:space="preserve"> </w:t>
      </w:r>
      <w:r w:rsidR="00703CC6">
        <w:rPr>
          <w:lang w:val="ru-RU"/>
        </w:rPr>
        <w:t xml:space="preserve">Европейских стран. </w:t>
      </w:r>
    </w:p>
    <w:p w14:paraId="60851634" w14:textId="3640D999" w:rsidR="00950993" w:rsidRPr="00703CC6" w:rsidRDefault="00703CC6" w:rsidP="00703CC6">
      <w:pPr>
        <w:jc w:val="both"/>
        <w:rPr>
          <w:u w:val="single"/>
          <w:lang w:val="lv-LV"/>
        </w:rPr>
      </w:pPr>
      <w:r w:rsidRPr="00703CC6">
        <w:rPr>
          <w:u w:val="single"/>
          <w:lang w:val="lv-LV"/>
        </w:rPr>
        <w:t>Специалисты европейской отрасли страхования высоко оценили информационную систему LTAB OCTA</w:t>
      </w:r>
    </w:p>
    <w:p w14:paraId="7204CA7C" w14:textId="69EB869C" w:rsidR="00950993" w:rsidRPr="00703CC6" w:rsidRDefault="00703CC6" w:rsidP="008C2224">
      <w:pPr>
        <w:jc w:val="both"/>
        <w:rPr>
          <w:rFonts w:ascii="Calibri" w:hAnsi="Calibri"/>
          <w:sz w:val="23"/>
          <w:szCs w:val="23"/>
          <w:lang w:val="ru-RU"/>
        </w:rPr>
      </w:pPr>
      <w:r>
        <w:rPr>
          <w:rFonts w:ascii="Calibri" w:hAnsi="Calibri"/>
          <w:sz w:val="23"/>
          <w:szCs w:val="23"/>
          <w:lang w:val="ru-RU"/>
        </w:rPr>
        <w:t>В рамках прошедшей международной конференции пр</w:t>
      </w:r>
      <w:r>
        <w:rPr>
          <w:rFonts w:ascii="Calibri" w:hAnsi="Calibri"/>
          <w:sz w:val="23"/>
          <w:szCs w:val="23"/>
          <w:lang w:val="lv-LV"/>
        </w:rPr>
        <w:t xml:space="preserve">едседатель правления LTAB </w:t>
      </w:r>
      <w:r>
        <w:rPr>
          <w:rFonts w:ascii="Calibri" w:hAnsi="Calibri"/>
          <w:sz w:val="23"/>
          <w:szCs w:val="23"/>
          <w:lang w:val="ru-RU"/>
        </w:rPr>
        <w:t xml:space="preserve">Юрис Стенгревицс ознакомил делегатов с созданной и поддерживаемой бюро информационной системой ОСТА, получив высокую оценку европейских коллег. В этом году </w:t>
      </w:r>
      <w:r w:rsidRPr="005A48A2">
        <w:rPr>
          <w:lang w:val="lv-LV"/>
        </w:rPr>
        <w:t>LTAB</w:t>
      </w:r>
      <w:r>
        <w:rPr>
          <w:lang w:val="ru-RU"/>
        </w:rPr>
        <w:t xml:space="preserve"> провел существенные работу и модернизировал информационную систему ОСТА, что позволило во много раз увеличить скорость обмена данными. Также в конце этого года </w:t>
      </w:r>
      <w:r w:rsidRPr="005A48A2">
        <w:rPr>
          <w:lang w:val="lv-LV"/>
        </w:rPr>
        <w:t>LTAB</w:t>
      </w:r>
      <w:r>
        <w:rPr>
          <w:lang w:val="ru-RU"/>
        </w:rPr>
        <w:t xml:space="preserve"> разработал и ввел дружественную для всех мобильных устройств аппликацию, с помощью которой можно </w:t>
      </w:r>
      <w:r w:rsidR="00EE53CE">
        <w:rPr>
          <w:lang w:val="ru-RU"/>
        </w:rPr>
        <w:t xml:space="preserve">узнать </w:t>
      </w:r>
      <w:r>
        <w:rPr>
          <w:lang w:val="ru-RU"/>
        </w:rPr>
        <w:t>срок действия полиса ОСТА, подписаться на напоминания о приближении истечения срока действия</w:t>
      </w:r>
      <w:r w:rsidR="00EE53CE">
        <w:rPr>
          <w:lang w:val="ru-RU"/>
        </w:rPr>
        <w:t xml:space="preserve"> ОСТА</w:t>
      </w:r>
      <w:r>
        <w:rPr>
          <w:lang w:val="ru-RU"/>
        </w:rPr>
        <w:t xml:space="preserve">, узнать свой </w:t>
      </w:r>
      <w:r>
        <w:rPr>
          <w:lang w:val="lv-LV"/>
        </w:rPr>
        <w:t>Bonus-Malus</w:t>
      </w:r>
      <w:r>
        <w:rPr>
          <w:lang w:val="ru-RU"/>
        </w:rPr>
        <w:t xml:space="preserve"> класс, исторические и актуальные данные о повреждениях автомобиля. </w:t>
      </w:r>
    </w:p>
    <w:p w14:paraId="10DA0B72" w14:textId="77777777" w:rsidR="00733850" w:rsidRPr="005A48A2" w:rsidRDefault="00733850" w:rsidP="00E22A84">
      <w:pPr>
        <w:spacing w:after="0" w:line="240" w:lineRule="auto"/>
        <w:jc w:val="right"/>
        <w:rPr>
          <w:rFonts w:cs="Times New Roman"/>
          <w:bCs/>
          <w:i/>
          <w:lang w:val="lv-LV"/>
        </w:rPr>
      </w:pPr>
    </w:p>
    <w:p w14:paraId="0CFCAB7D" w14:textId="77777777" w:rsidR="00703CC6" w:rsidRPr="00703CC6" w:rsidRDefault="00703CC6" w:rsidP="00703CC6">
      <w:pPr>
        <w:spacing w:after="120" w:line="240" w:lineRule="auto"/>
        <w:contextualSpacing/>
        <w:jc w:val="right"/>
        <w:rPr>
          <w:i/>
          <w:iCs/>
          <w:lang w:val="ru-RU"/>
        </w:rPr>
      </w:pPr>
      <w:r>
        <w:rPr>
          <w:i/>
          <w:iCs/>
          <w:lang w:val="ru-RU"/>
        </w:rPr>
        <w:t>Дополнительная информация:</w:t>
      </w:r>
      <w:r w:rsidRPr="00703CC6">
        <w:rPr>
          <w:i/>
          <w:iCs/>
          <w:lang w:val="ru-RU"/>
        </w:rPr>
        <w:t xml:space="preserve"> </w:t>
      </w:r>
      <w:r w:rsidRPr="00703CC6">
        <w:rPr>
          <w:i/>
          <w:iCs/>
          <w:lang w:val="ru-RU"/>
        </w:rPr>
        <w:br/>
      </w:r>
      <w:r>
        <w:rPr>
          <w:i/>
          <w:iCs/>
          <w:lang w:val="ru-RU"/>
        </w:rPr>
        <w:t>Консультант LTAB по общественным отношениям</w:t>
      </w:r>
    </w:p>
    <w:p w14:paraId="544B9348" w14:textId="77777777" w:rsidR="00703CC6" w:rsidRPr="00703CC6" w:rsidRDefault="00703CC6" w:rsidP="00703CC6">
      <w:pPr>
        <w:spacing w:after="120" w:line="240" w:lineRule="auto"/>
        <w:contextualSpacing/>
        <w:jc w:val="right"/>
        <w:rPr>
          <w:i/>
          <w:iCs/>
          <w:lang w:val="ru-RU"/>
        </w:rPr>
      </w:pPr>
      <w:r>
        <w:rPr>
          <w:i/>
          <w:iCs/>
          <w:lang w:val="ru-RU"/>
        </w:rPr>
        <w:t xml:space="preserve">Гинтс Лаздыньш </w:t>
      </w:r>
      <w:r>
        <w:rPr>
          <w:i/>
          <w:iCs/>
          <w:lang w:val="ru-RU"/>
        </w:rPr>
        <w:br/>
      </w:r>
      <w:r w:rsidRPr="00703CC6">
        <w:rPr>
          <w:i/>
          <w:iCs/>
          <w:lang w:val="ru-RU"/>
        </w:rPr>
        <w:t>Тел.: +371 29442282,</w:t>
      </w:r>
    </w:p>
    <w:p w14:paraId="69A6FE67" w14:textId="725E05D3" w:rsidR="00617E51" w:rsidRPr="00703CC6" w:rsidRDefault="00703CC6" w:rsidP="00703CC6">
      <w:pPr>
        <w:spacing w:after="120" w:line="240" w:lineRule="auto"/>
        <w:contextualSpacing/>
        <w:jc w:val="right"/>
        <w:rPr>
          <w:i/>
          <w:iCs/>
          <w:lang w:val="ru-RU"/>
        </w:rPr>
      </w:pPr>
      <w:r w:rsidRPr="00703CC6">
        <w:rPr>
          <w:i/>
          <w:iCs/>
          <w:lang w:val="ru-RU"/>
        </w:rPr>
        <w:t xml:space="preserve">Е-мейл: </w:t>
      </w:r>
      <w:r w:rsidR="00397553">
        <w:fldChar w:fldCharType="begin"/>
      </w:r>
      <w:r w:rsidR="00397553" w:rsidRPr="00C36B7A">
        <w:rPr>
          <w:lang w:val="ru-RU"/>
          <w:rPrChange w:id="1" w:author="Gints" w:date="2015-12-18T09:40:00Z">
            <w:rPr/>
          </w:rPrChange>
        </w:rPr>
        <w:instrText xml:space="preserve"> </w:instrText>
      </w:r>
      <w:r w:rsidR="00397553">
        <w:instrText>HYPERLINK</w:instrText>
      </w:r>
      <w:r w:rsidR="00397553" w:rsidRPr="00C36B7A">
        <w:rPr>
          <w:lang w:val="ru-RU"/>
          <w:rPrChange w:id="2" w:author="Gints" w:date="2015-12-18T09:40:00Z">
            <w:rPr/>
          </w:rPrChange>
        </w:rPr>
        <w:instrText xml:space="preserve"> "</w:instrText>
      </w:r>
      <w:r w:rsidR="00397553">
        <w:instrText>mailto</w:instrText>
      </w:r>
      <w:r w:rsidR="00397553" w:rsidRPr="00C36B7A">
        <w:rPr>
          <w:lang w:val="ru-RU"/>
          <w:rPrChange w:id="3" w:author="Gints" w:date="2015-12-18T09:40:00Z">
            <w:rPr/>
          </w:rPrChange>
        </w:rPr>
        <w:instrText>:</w:instrText>
      </w:r>
      <w:r w:rsidR="00397553">
        <w:instrText>gints</w:instrText>
      </w:r>
      <w:r w:rsidR="00397553" w:rsidRPr="00C36B7A">
        <w:rPr>
          <w:lang w:val="ru-RU"/>
          <w:rPrChange w:id="4" w:author="Gints" w:date="2015-12-18T09:40:00Z">
            <w:rPr/>
          </w:rPrChange>
        </w:rPr>
        <w:instrText>@</w:instrText>
      </w:r>
      <w:r w:rsidR="00397553">
        <w:instrText>olsen</w:instrText>
      </w:r>
      <w:r w:rsidR="00397553" w:rsidRPr="00C36B7A">
        <w:rPr>
          <w:lang w:val="ru-RU"/>
          <w:rPrChange w:id="5" w:author="Gints" w:date="2015-12-18T09:40:00Z">
            <w:rPr/>
          </w:rPrChange>
        </w:rPr>
        <w:instrText>.</w:instrText>
      </w:r>
      <w:r w:rsidR="00397553">
        <w:instrText>lv</w:instrText>
      </w:r>
      <w:r w:rsidR="00397553" w:rsidRPr="00C36B7A">
        <w:rPr>
          <w:lang w:val="ru-RU"/>
          <w:rPrChange w:id="6" w:author="Gints" w:date="2015-12-18T09:40:00Z">
            <w:rPr/>
          </w:rPrChange>
        </w:rPr>
        <w:instrText xml:space="preserve">" </w:instrText>
      </w:r>
      <w:r w:rsidR="00397553">
        <w:fldChar w:fldCharType="separate"/>
      </w:r>
      <w:r w:rsidRPr="006C661F">
        <w:rPr>
          <w:i/>
        </w:rPr>
        <w:t>gints</w:t>
      </w:r>
      <w:r w:rsidRPr="002E4E12">
        <w:rPr>
          <w:i/>
          <w:lang w:val="ru-RU"/>
        </w:rPr>
        <w:t>@</w:t>
      </w:r>
      <w:r w:rsidRPr="006C661F">
        <w:rPr>
          <w:i/>
        </w:rPr>
        <w:t>olsen</w:t>
      </w:r>
      <w:r w:rsidRPr="002E4E12">
        <w:rPr>
          <w:i/>
          <w:lang w:val="ru-RU"/>
        </w:rPr>
        <w:t>.</w:t>
      </w:r>
      <w:r w:rsidRPr="006C661F">
        <w:rPr>
          <w:i/>
        </w:rPr>
        <w:t>lv</w:t>
      </w:r>
      <w:r w:rsidR="00397553">
        <w:rPr>
          <w:i/>
        </w:rPr>
        <w:fldChar w:fldCharType="end"/>
      </w:r>
    </w:p>
    <w:sectPr w:rsidR="00617E51" w:rsidRPr="00703CC6" w:rsidSect="00703CC6">
      <w:headerReference w:type="default" r:id="rId8"/>
      <w:footerReference w:type="default" r:id="rId9"/>
      <w:pgSz w:w="11906" w:h="16838"/>
      <w:pgMar w:top="720" w:right="720" w:bottom="720" w:left="720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AA95A" w14:textId="77777777" w:rsidR="00092A93" w:rsidRDefault="00092A93" w:rsidP="00C62AF7">
      <w:pPr>
        <w:spacing w:after="0" w:line="240" w:lineRule="auto"/>
      </w:pPr>
      <w:r>
        <w:separator/>
      </w:r>
    </w:p>
  </w:endnote>
  <w:endnote w:type="continuationSeparator" w:id="0">
    <w:p w14:paraId="7992A195" w14:textId="77777777" w:rsidR="00092A93" w:rsidRDefault="00092A93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3A32B1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9042" w:dyaOrig="462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6.25pt;height:19.5pt" o:ole="">
          <v:imagedata r:id="rId1" o:title=""/>
        </v:shape>
        <o:OLEObject Type="Embed" ProgID="CorelDraw.Graphic.17" ShapeID="_x0000_i1026" DrawAspect="Content" ObjectID="_1511937508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3BBB4" w14:textId="77777777" w:rsidR="00092A93" w:rsidRDefault="00092A93" w:rsidP="00C62AF7">
      <w:pPr>
        <w:spacing w:after="0" w:line="240" w:lineRule="auto"/>
      </w:pPr>
      <w:r>
        <w:separator/>
      </w:r>
    </w:p>
  </w:footnote>
  <w:footnote w:type="continuationSeparator" w:id="0">
    <w:p w14:paraId="117ADDBC" w14:textId="77777777" w:rsidR="00092A93" w:rsidRDefault="00092A93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634A5" w14:textId="77777777" w:rsidR="007C78FE" w:rsidRDefault="007C78FE">
    <w:pPr>
      <w:pStyle w:val="Header"/>
    </w:pPr>
    <w:r>
      <w:object w:dxaOrig="3028" w:dyaOrig="1080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5.5pt" o:ole="">
          <v:imagedata r:id="rId1" o:title=""/>
        </v:shape>
        <o:OLEObject Type="Embed" ProgID="CorelDraw.Graphic.17" ShapeID="_x0000_i1025" DrawAspect="Content" ObjectID="_1511937507" r:id="rId2"/>
      </w:object>
    </w:r>
  </w:p>
  <w:p w14:paraId="450E4B33" w14:textId="77777777" w:rsidR="007C78FE" w:rsidRDefault="007C78FE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nts">
    <w15:presenceInfo w15:providerId="None" w15:userId="Gint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13A3"/>
    <w:rsid w:val="0000382A"/>
    <w:rsid w:val="0000798F"/>
    <w:rsid w:val="0003095B"/>
    <w:rsid w:val="00032071"/>
    <w:rsid w:val="000533E0"/>
    <w:rsid w:val="00057EA6"/>
    <w:rsid w:val="00091DE0"/>
    <w:rsid w:val="00092A93"/>
    <w:rsid w:val="00093FF3"/>
    <w:rsid w:val="000A4639"/>
    <w:rsid w:val="000B5642"/>
    <w:rsid w:val="000D0D3C"/>
    <w:rsid w:val="000D2A57"/>
    <w:rsid w:val="000D3097"/>
    <w:rsid w:val="000F4FC5"/>
    <w:rsid w:val="000F5106"/>
    <w:rsid w:val="00103B45"/>
    <w:rsid w:val="0012264C"/>
    <w:rsid w:val="00133D5B"/>
    <w:rsid w:val="00143485"/>
    <w:rsid w:val="00144B7F"/>
    <w:rsid w:val="00157DD1"/>
    <w:rsid w:val="00171015"/>
    <w:rsid w:val="00181352"/>
    <w:rsid w:val="001A0DF5"/>
    <w:rsid w:val="001A5528"/>
    <w:rsid w:val="001C65E0"/>
    <w:rsid w:val="001D31BA"/>
    <w:rsid w:val="001D3B28"/>
    <w:rsid w:val="001D6AEF"/>
    <w:rsid w:val="001E57C6"/>
    <w:rsid w:val="00214B20"/>
    <w:rsid w:val="00221376"/>
    <w:rsid w:val="00222A6C"/>
    <w:rsid w:val="0027402E"/>
    <w:rsid w:val="00281AC9"/>
    <w:rsid w:val="002857F0"/>
    <w:rsid w:val="002A1269"/>
    <w:rsid w:val="002B6C4E"/>
    <w:rsid w:val="002C07F5"/>
    <w:rsid w:val="002D452E"/>
    <w:rsid w:val="002D5F23"/>
    <w:rsid w:val="002E4E12"/>
    <w:rsid w:val="00307AF2"/>
    <w:rsid w:val="00322690"/>
    <w:rsid w:val="003328A9"/>
    <w:rsid w:val="003353F6"/>
    <w:rsid w:val="00340E8E"/>
    <w:rsid w:val="003439F8"/>
    <w:rsid w:val="00346606"/>
    <w:rsid w:val="003653B1"/>
    <w:rsid w:val="003662A8"/>
    <w:rsid w:val="00387404"/>
    <w:rsid w:val="00397553"/>
    <w:rsid w:val="003C0A9F"/>
    <w:rsid w:val="003D14B9"/>
    <w:rsid w:val="003D3C4C"/>
    <w:rsid w:val="003D70EC"/>
    <w:rsid w:val="003E3ED9"/>
    <w:rsid w:val="003F3E0D"/>
    <w:rsid w:val="00400753"/>
    <w:rsid w:val="00403035"/>
    <w:rsid w:val="00403AB9"/>
    <w:rsid w:val="004231DF"/>
    <w:rsid w:val="00436B41"/>
    <w:rsid w:val="00441893"/>
    <w:rsid w:val="00447588"/>
    <w:rsid w:val="00453FCE"/>
    <w:rsid w:val="004647F2"/>
    <w:rsid w:val="004660D8"/>
    <w:rsid w:val="00480144"/>
    <w:rsid w:val="00481423"/>
    <w:rsid w:val="00483023"/>
    <w:rsid w:val="004B7D60"/>
    <w:rsid w:val="004C32E0"/>
    <w:rsid w:val="004D366B"/>
    <w:rsid w:val="004F0C08"/>
    <w:rsid w:val="004F3819"/>
    <w:rsid w:val="004F39A9"/>
    <w:rsid w:val="00506CDA"/>
    <w:rsid w:val="00520799"/>
    <w:rsid w:val="0053256E"/>
    <w:rsid w:val="00550B88"/>
    <w:rsid w:val="00555CA2"/>
    <w:rsid w:val="005842C4"/>
    <w:rsid w:val="00590ADB"/>
    <w:rsid w:val="005919C4"/>
    <w:rsid w:val="005A48A2"/>
    <w:rsid w:val="005B0056"/>
    <w:rsid w:val="005B0F55"/>
    <w:rsid w:val="005B6255"/>
    <w:rsid w:val="005C2323"/>
    <w:rsid w:val="005E4497"/>
    <w:rsid w:val="005E69F5"/>
    <w:rsid w:val="005F56B1"/>
    <w:rsid w:val="00617A1C"/>
    <w:rsid w:val="00617E51"/>
    <w:rsid w:val="00620036"/>
    <w:rsid w:val="00646632"/>
    <w:rsid w:val="00647776"/>
    <w:rsid w:val="00684421"/>
    <w:rsid w:val="006A5358"/>
    <w:rsid w:val="006C661F"/>
    <w:rsid w:val="006E3B65"/>
    <w:rsid w:val="006E75CA"/>
    <w:rsid w:val="00703CC6"/>
    <w:rsid w:val="00733850"/>
    <w:rsid w:val="00751698"/>
    <w:rsid w:val="00770B6E"/>
    <w:rsid w:val="00796E1D"/>
    <w:rsid w:val="007B39C1"/>
    <w:rsid w:val="007B58F9"/>
    <w:rsid w:val="007C78FE"/>
    <w:rsid w:val="0080780A"/>
    <w:rsid w:val="008175EC"/>
    <w:rsid w:val="008219D6"/>
    <w:rsid w:val="008278BE"/>
    <w:rsid w:val="00841331"/>
    <w:rsid w:val="00847685"/>
    <w:rsid w:val="00864951"/>
    <w:rsid w:val="00881B76"/>
    <w:rsid w:val="00883DFF"/>
    <w:rsid w:val="0088773F"/>
    <w:rsid w:val="00895546"/>
    <w:rsid w:val="008C2224"/>
    <w:rsid w:val="008C54EA"/>
    <w:rsid w:val="008D5D15"/>
    <w:rsid w:val="008F3EE4"/>
    <w:rsid w:val="00910678"/>
    <w:rsid w:val="00950993"/>
    <w:rsid w:val="00960BB9"/>
    <w:rsid w:val="00964DE9"/>
    <w:rsid w:val="0097040E"/>
    <w:rsid w:val="009722A2"/>
    <w:rsid w:val="00973D97"/>
    <w:rsid w:val="00983731"/>
    <w:rsid w:val="0099708E"/>
    <w:rsid w:val="009F12BD"/>
    <w:rsid w:val="00A122A4"/>
    <w:rsid w:val="00A42D27"/>
    <w:rsid w:val="00A44EEC"/>
    <w:rsid w:val="00A935B3"/>
    <w:rsid w:val="00AA11DB"/>
    <w:rsid w:val="00AB233A"/>
    <w:rsid w:val="00AC34E8"/>
    <w:rsid w:val="00AC7029"/>
    <w:rsid w:val="00AD0FE3"/>
    <w:rsid w:val="00AD74F1"/>
    <w:rsid w:val="00AE1616"/>
    <w:rsid w:val="00AE3928"/>
    <w:rsid w:val="00B015D2"/>
    <w:rsid w:val="00B053B8"/>
    <w:rsid w:val="00B05B9D"/>
    <w:rsid w:val="00B21E21"/>
    <w:rsid w:val="00B31BA0"/>
    <w:rsid w:val="00B367B9"/>
    <w:rsid w:val="00B369BD"/>
    <w:rsid w:val="00B44512"/>
    <w:rsid w:val="00B51D5C"/>
    <w:rsid w:val="00B60EA6"/>
    <w:rsid w:val="00B61B45"/>
    <w:rsid w:val="00BB784E"/>
    <w:rsid w:val="00BC3AFA"/>
    <w:rsid w:val="00BC6C58"/>
    <w:rsid w:val="00BE1320"/>
    <w:rsid w:val="00BE1606"/>
    <w:rsid w:val="00C02116"/>
    <w:rsid w:val="00C03176"/>
    <w:rsid w:val="00C108D5"/>
    <w:rsid w:val="00C12FDC"/>
    <w:rsid w:val="00C2008E"/>
    <w:rsid w:val="00C36B7A"/>
    <w:rsid w:val="00C431BD"/>
    <w:rsid w:val="00C62AF7"/>
    <w:rsid w:val="00C7256F"/>
    <w:rsid w:val="00C80E9A"/>
    <w:rsid w:val="00C81536"/>
    <w:rsid w:val="00C83C7A"/>
    <w:rsid w:val="00C94A01"/>
    <w:rsid w:val="00C9669C"/>
    <w:rsid w:val="00CC1D83"/>
    <w:rsid w:val="00CC37A5"/>
    <w:rsid w:val="00CD4857"/>
    <w:rsid w:val="00CE1DC8"/>
    <w:rsid w:val="00D041CF"/>
    <w:rsid w:val="00D05A63"/>
    <w:rsid w:val="00D20A66"/>
    <w:rsid w:val="00D356F9"/>
    <w:rsid w:val="00D47143"/>
    <w:rsid w:val="00D801BF"/>
    <w:rsid w:val="00D926BF"/>
    <w:rsid w:val="00DB37AC"/>
    <w:rsid w:val="00DE220A"/>
    <w:rsid w:val="00DF0ADC"/>
    <w:rsid w:val="00E06465"/>
    <w:rsid w:val="00E22A84"/>
    <w:rsid w:val="00E23A71"/>
    <w:rsid w:val="00E349CD"/>
    <w:rsid w:val="00E40873"/>
    <w:rsid w:val="00E43F9F"/>
    <w:rsid w:val="00E60518"/>
    <w:rsid w:val="00E8391D"/>
    <w:rsid w:val="00E91AD3"/>
    <w:rsid w:val="00EB17EB"/>
    <w:rsid w:val="00EC201D"/>
    <w:rsid w:val="00ED1F40"/>
    <w:rsid w:val="00EE2EB4"/>
    <w:rsid w:val="00EE53CE"/>
    <w:rsid w:val="00EF1667"/>
    <w:rsid w:val="00EF1C8F"/>
    <w:rsid w:val="00F054F6"/>
    <w:rsid w:val="00F2284B"/>
    <w:rsid w:val="00F3262F"/>
    <w:rsid w:val="00F46691"/>
    <w:rsid w:val="00F6198B"/>
    <w:rsid w:val="00F72968"/>
    <w:rsid w:val="00F872FD"/>
    <w:rsid w:val="00FB2DF8"/>
    <w:rsid w:val="00FE0E34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6D8E-32D5-42BB-B314-044135DC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4365</Words>
  <Characters>2489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2015-12-18T07:52:00Z</dcterms:created>
  <dcterms:modified xsi:type="dcterms:W3CDTF">2015-12-18T07:52:00Z</dcterms:modified>
</cp:coreProperties>
</file>